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B2771" w14:textId="4F3AEB6C" w:rsidR="00767F15" w:rsidRPr="00767F15" w:rsidRDefault="00767F15" w:rsidP="00767F15">
      <w:pPr>
        <w:tabs>
          <w:tab w:val="right" w:pos="9630"/>
        </w:tabs>
        <w:spacing w:after="0"/>
        <w:jc w:val="both"/>
        <w:rPr>
          <w:rFonts w:ascii="Arial" w:hAnsi="Arial" w:cs="Arial"/>
          <w:b/>
          <w:color w:val="000000"/>
          <w:sz w:val="24"/>
        </w:rPr>
      </w:pPr>
      <w:bookmarkStart w:id="0" w:name="_Hlk506565237"/>
      <w:r w:rsidRPr="00767F15">
        <w:rPr>
          <w:rFonts w:ascii="Arial" w:hAnsi="Arial" w:cs="Arial"/>
          <w:b/>
          <w:color w:val="000000"/>
          <w:sz w:val="24"/>
        </w:rPr>
        <w:t>3GPP TSG RAN WG1 #100</w:t>
      </w:r>
      <w:r w:rsidR="00493A72">
        <w:rPr>
          <w:rFonts w:ascii="Arial" w:hAnsi="Arial" w:cs="Arial"/>
          <w:b/>
          <w:color w:val="000000"/>
          <w:sz w:val="24"/>
        </w:rPr>
        <w:t>Bis</w:t>
      </w:r>
      <w:r w:rsidR="004055D1">
        <w:rPr>
          <w:rFonts w:ascii="Arial" w:hAnsi="Arial" w:cs="Arial"/>
          <w:b/>
          <w:color w:val="000000"/>
          <w:sz w:val="24"/>
        </w:rPr>
        <w:t>-e</w:t>
      </w:r>
      <w:r w:rsidRPr="00767F15">
        <w:rPr>
          <w:rFonts w:ascii="Arial" w:hAnsi="Arial" w:cs="Arial"/>
          <w:b/>
          <w:color w:val="000000"/>
          <w:sz w:val="24"/>
        </w:rPr>
        <w:t xml:space="preserve">                                      </w:t>
      </w:r>
      <w:r w:rsidRPr="00767F15">
        <w:rPr>
          <w:rFonts w:ascii="Arial" w:hAnsi="Arial" w:cs="Arial"/>
          <w:b/>
          <w:color w:val="000000"/>
          <w:sz w:val="24"/>
        </w:rPr>
        <w:tab/>
        <w:t>R1-</w:t>
      </w:r>
      <w:r w:rsidR="004D3417" w:rsidRPr="004D3417">
        <w:t xml:space="preserve"> </w:t>
      </w:r>
      <w:r w:rsidR="00C90937" w:rsidRPr="00C90937">
        <w:rPr>
          <w:rFonts w:ascii="Arial" w:hAnsi="Arial" w:cs="Arial"/>
          <w:b/>
          <w:color w:val="000000"/>
          <w:sz w:val="24"/>
        </w:rPr>
        <w:t>2002756</w:t>
      </w:r>
      <w:bookmarkStart w:id="1" w:name="_GoBack"/>
      <w:bookmarkEnd w:id="1"/>
    </w:p>
    <w:p w14:paraId="54D4CF06" w14:textId="5C57F57F" w:rsidR="00767F15" w:rsidRPr="00767F15" w:rsidRDefault="00493A72" w:rsidP="00767F15">
      <w:pPr>
        <w:tabs>
          <w:tab w:val="right" w:pos="9630"/>
        </w:tabs>
        <w:spacing w:after="0"/>
        <w:jc w:val="both"/>
        <w:rPr>
          <w:rFonts w:ascii="Arial" w:hAnsi="Arial" w:cs="Arial"/>
          <w:b/>
          <w:color w:val="000000"/>
          <w:sz w:val="24"/>
        </w:rPr>
      </w:pPr>
      <w:r>
        <w:rPr>
          <w:rFonts w:ascii="Arial" w:hAnsi="Arial" w:cs="Arial"/>
          <w:b/>
          <w:color w:val="000000"/>
          <w:sz w:val="24"/>
        </w:rPr>
        <w:t>April</w:t>
      </w:r>
      <w:r w:rsidR="00767F15" w:rsidRPr="00767F15">
        <w:rPr>
          <w:rFonts w:ascii="Arial" w:hAnsi="Arial" w:cs="Arial"/>
          <w:b/>
          <w:color w:val="000000"/>
          <w:sz w:val="24"/>
        </w:rPr>
        <w:t xml:space="preserve"> 2</w:t>
      </w:r>
      <w:r>
        <w:rPr>
          <w:rFonts w:ascii="Arial" w:hAnsi="Arial" w:cs="Arial"/>
          <w:b/>
          <w:color w:val="000000"/>
          <w:sz w:val="24"/>
        </w:rPr>
        <w:t>0</w:t>
      </w:r>
      <w:r w:rsidR="00767F15" w:rsidRPr="00493A72">
        <w:rPr>
          <w:rFonts w:ascii="Arial" w:hAnsi="Arial" w:cs="Arial"/>
          <w:b/>
          <w:color w:val="000000"/>
          <w:sz w:val="24"/>
          <w:vertAlign w:val="superscript"/>
        </w:rPr>
        <w:t>th</w:t>
      </w:r>
      <w:r w:rsidR="00767F15" w:rsidRPr="00767F15">
        <w:rPr>
          <w:rFonts w:ascii="Arial" w:hAnsi="Arial" w:cs="Arial"/>
          <w:b/>
          <w:color w:val="000000"/>
          <w:sz w:val="24"/>
        </w:rPr>
        <w:t xml:space="preserve"> –</w:t>
      </w:r>
      <w:r>
        <w:rPr>
          <w:rFonts w:ascii="Arial" w:hAnsi="Arial" w:cs="Arial"/>
          <w:b/>
          <w:color w:val="000000"/>
          <w:sz w:val="24"/>
        </w:rPr>
        <w:t xml:space="preserve"> April </w:t>
      </w:r>
      <w:r w:rsidR="004B1BB5">
        <w:rPr>
          <w:rFonts w:ascii="Arial" w:hAnsi="Arial" w:cs="Arial"/>
          <w:b/>
          <w:color w:val="000000"/>
          <w:sz w:val="24"/>
        </w:rPr>
        <w:t>30</w:t>
      </w:r>
      <w:r w:rsidR="00767F15" w:rsidRPr="00493A72">
        <w:rPr>
          <w:rFonts w:ascii="Arial" w:hAnsi="Arial" w:cs="Arial"/>
          <w:b/>
          <w:color w:val="000000"/>
          <w:sz w:val="24"/>
          <w:vertAlign w:val="superscript"/>
        </w:rPr>
        <w:t>th</w:t>
      </w:r>
      <w:r w:rsidR="00767F15" w:rsidRPr="00767F15">
        <w:rPr>
          <w:rFonts w:ascii="Arial" w:hAnsi="Arial" w:cs="Arial"/>
          <w:b/>
          <w:color w:val="000000"/>
          <w:sz w:val="24"/>
        </w:rPr>
        <w:t>, 2020</w:t>
      </w:r>
    </w:p>
    <w:p w14:paraId="1A88A064" w14:textId="77777777" w:rsidR="001C607B" w:rsidRDefault="001C607B" w:rsidP="001C607B">
      <w:pPr>
        <w:pStyle w:val="Title"/>
        <w:tabs>
          <w:tab w:val="left" w:pos="709"/>
          <w:tab w:val="right" w:pos="9639"/>
        </w:tabs>
        <w:wordWrap w:val="0"/>
        <w:spacing w:after="0"/>
        <w:ind w:right="120"/>
        <w:jc w:val="both"/>
        <w:rPr>
          <w:rFonts w:cs="Arial"/>
          <w:color w:val="000000"/>
          <w:lang w:val="en-GB" w:eastAsia="ja-JP"/>
        </w:rPr>
      </w:pPr>
    </w:p>
    <w:p w14:paraId="067DD713" w14:textId="67998987" w:rsidR="001C607B" w:rsidRDefault="001C607B" w:rsidP="001C607B">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00767F15">
        <w:rPr>
          <w:rFonts w:ascii="Arial" w:hAnsi="Arial"/>
          <w:color w:val="000000"/>
          <w:sz w:val="24"/>
        </w:rPr>
        <w:t>7.2.4.3</w:t>
      </w:r>
      <w:r>
        <w:rPr>
          <w:rFonts w:ascii="Arial" w:hAnsi="Arial"/>
          <w:color w:val="000000"/>
          <w:sz w:val="24"/>
        </w:rPr>
        <w:t xml:space="preserve"> </w:t>
      </w:r>
    </w:p>
    <w:p w14:paraId="24B0B6F7" w14:textId="46142F79" w:rsidR="001C607B" w:rsidRPr="00767F15" w:rsidRDefault="001C607B" w:rsidP="002E45A6">
      <w:pPr>
        <w:tabs>
          <w:tab w:val="left" w:pos="1985"/>
        </w:tabs>
        <w:ind w:left="1980" w:hanging="1980"/>
        <w:jc w:val="both"/>
        <w:rPr>
          <w:rFonts w:ascii="Arial" w:hAnsi="Arial"/>
          <w:sz w:val="22"/>
        </w:rPr>
      </w:pPr>
      <w:r>
        <w:rPr>
          <w:rFonts w:ascii="Arial" w:hAnsi="Arial"/>
          <w:b/>
          <w:sz w:val="24"/>
        </w:rPr>
        <w:t xml:space="preserve">Source: </w:t>
      </w:r>
      <w:r>
        <w:rPr>
          <w:rFonts w:ascii="Arial" w:hAnsi="Arial"/>
          <w:b/>
          <w:sz w:val="24"/>
        </w:rPr>
        <w:tab/>
      </w:r>
      <w:r w:rsidR="002E45A6">
        <w:rPr>
          <w:rFonts w:ascii="Arial" w:hAnsi="Arial"/>
          <w:b/>
          <w:sz w:val="24"/>
        </w:rPr>
        <w:tab/>
      </w:r>
      <w:r w:rsidRPr="00767F15">
        <w:rPr>
          <w:rFonts w:ascii="Arial" w:hAnsi="Arial"/>
          <w:sz w:val="22"/>
        </w:rPr>
        <w:t>Qualcomm Incorporated, FirstNet,</w:t>
      </w:r>
      <w:r w:rsidR="00FF2741" w:rsidRPr="00767F15">
        <w:rPr>
          <w:rFonts w:ascii="Arial" w:hAnsi="Arial"/>
          <w:sz w:val="22"/>
        </w:rPr>
        <w:t xml:space="preserve"> UK Home office</w:t>
      </w:r>
      <w:r w:rsidR="00527210" w:rsidRPr="00767F15">
        <w:rPr>
          <w:rFonts w:ascii="Arial" w:hAnsi="Arial"/>
          <w:sz w:val="22"/>
        </w:rPr>
        <w:t>,</w:t>
      </w:r>
      <w:r w:rsidRPr="00767F15">
        <w:rPr>
          <w:rFonts w:ascii="Arial" w:hAnsi="Arial"/>
          <w:sz w:val="22"/>
        </w:rPr>
        <w:t xml:space="preserve"> Kyocera, Continental Automotive GmbH, LGE</w:t>
      </w:r>
      <w:r w:rsidR="00FF2741" w:rsidRPr="00767F15">
        <w:rPr>
          <w:rFonts w:ascii="Arial" w:hAnsi="Arial"/>
          <w:sz w:val="22"/>
        </w:rPr>
        <w:t xml:space="preserve">, AT&amp;T, OPPO, Panasonic, </w:t>
      </w:r>
      <w:r w:rsidR="00527210" w:rsidRPr="00767F15">
        <w:rPr>
          <w:rFonts w:ascii="Arial" w:hAnsi="Arial"/>
          <w:sz w:val="22"/>
        </w:rPr>
        <w:t>Ford Motor</w:t>
      </w:r>
      <w:r w:rsidR="0003159C" w:rsidRPr="00767F15">
        <w:rPr>
          <w:rFonts w:ascii="Arial" w:hAnsi="Arial"/>
          <w:sz w:val="22"/>
        </w:rPr>
        <w:t xml:space="preserve"> Company</w:t>
      </w:r>
      <w:r w:rsidR="00527210" w:rsidRPr="00767F15">
        <w:rPr>
          <w:rFonts w:ascii="Arial" w:hAnsi="Arial"/>
          <w:sz w:val="22"/>
        </w:rPr>
        <w:t xml:space="preserve">, </w:t>
      </w:r>
      <w:r w:rsidR="00E8391E" w:rsidRPr="00767F15">
        <w:rPr>
          <w:rFonts w:ascii="Arial" w:hAnsi="Arial"/>
          <w:sz w:val="22"/>
        </w:rPr>
        <w:t>Bosch</w:t>
      </w:r>
      <w:r w:rsidR="00EF7827" w:rsidRPr="00767F15">
        <w:rPr>
          <w:rFonts w:ascii="Arial" w:hAnsi="Arial"/>
          <w:sz w:val="22"/>
        </w:rPr>
        <w:t>, NTT DOCOMO, Fraunhofer HHI, Fraunhofer IIS</w:t>
      </w:r>
      <w:r w:rsidR="004C5240">
        <w:rPr>
          <w:rFonts w:ascii="Arial" w:hAnsi="Arial"/>
          <w:sz w:val="22"/>
        </w:rPr>
        <w:t xml:space="preserve">, </w:t>
      </w:r>
      <w:r w:rsidR="004C5240" w:rsidRPr="004C5240">
        <w:rPr>
          <w:rFonts w:ascii="Arial" w:hAnsi="Arial"/>
          <w:sz w:val="22"/>
        </w:rPr>
        <w:t>Volkswagen AG</w:t>
      </w:r>
    </w:p>
    <w:p w14:paraId="2A67EB03" w14:textId="62D39BF1" w:rsidR="001C607B" w:rsidRPr="00A51804" w:rsidRDefault="001C607B" w:rsidP="001C607B">
      <w:pPr>
        <w:ind w:left="1988" w:hanging="1988"/>
        <w:jc w:val="both"/>
        <w:rPr>
          <w:rFonts w:ascii="Arial" w:hAnsi="Arial"/>
          <w:sz w:val="24"/>
          <w:szCs w:val="24"/>
        </w:rPr>
      </w:pPr>
      <w:r>
        <w:rPr>
          <w:rFonts w:ascii="Arial" w:hAnsi="Arial"/>
          <w:b/>
          <w:sz w:val="24"/>
        </w:rPr>
        <w:t>Title:</w:t>
      </w:r>
      <w:r>
        <w:rPr>
          <w:rFonts w:ascii="Arial" w:hAnsi="Arial"/>
          <w:sz w:val="24"/>
        </w:rPr>
        <w:t xml:space="preserve"> </w:t>
      </w:r>
      <w:r w:rsidR="002E45A6">
        <w:rPr>
          <w:rFonts w:ascii="Arial" w:hAnsi="Arial"/>
          <w:sz w:val="24"/>
        </w:rPr>
        <w:tab/>
      </w:r>
      <w:r>
        <w:rPr>
          <w:rFonts w:ascii="Arial" w:hAnsi="Arial"/>
          <w:sz w:val="22"/>
        </w:rPr>
        <w:t>Synchronization mechanism enhancement for cluster merge</w:t>
      </w:r>
      <w:r w:rsidRPr="00911D12">
        <w:rPr>
          <w:rFonts w:ascii="Arial" w:hAnsi="Arial"/>
          <w:sz w:val="24"/>
          <w:szCs w:val="24"/>
        </w:rPr>
        <w:t xml:space="preserve"> </w:t>
      </w:r>
    </w:p>
    <w:p w14:paraId="6FAF9E4A" w14:textId="77777777" w:rsidR="001C607B" w:rsidRDefault="001C607B" w:rsidP="001C607B">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3F5872AC" w14:textId="77777777" w:rsidR="001C607B" w:rsidRPr="00677958" w:rsidRDefault="001C607B" w:rsidP="001C607B">
      <w:pPr>
        <w:pStyle w:val="Heading1"/>
        <w:numPr>
          <w:ilvl w:val="0"/>
          <w:numId w:val="1"/>
        </w:numPr>
        <w:jc w:val="both"/>
        <w:rPr>
          <w:rFonts w:cs="Arial"/>
          <w:lang w:eastAsia="zh-CN"/>
        </w:rPr>
      </w:pPr>
      <w:r>
        <w:rPr>
          <w:rFonts w:cs="Arial"/>
          <w:lang w:eastAsia="zh-CN"/>
        </w:rPr>
        <w:t>Introduction</w:t>
      </w:r>
    </w:p>
    <w:p w14:paraId="3F33F8A4" w14:textId="77777777" w:rsidR="001C607B" w:rsidRDefault="001C607B" w:rsidP="001C607B">
      <w:pPr>
        <w:jc w:val="both"/>
        <w:rPr>
          <w:lang w:val="en-US"/>
        </w:rPr>
      </w:pPr>
      <w:r>
        <w:rPr>
          <w:lang w:val="en-US"/>
        </w:rPr>
        <w:t>In prior RAN1 meetings, the following agreements regarding the NR V2X synchronization procedure have been reached:</w:t>
      </w:r>
    </w:p>
    <w:tbl>
      <w:tblPr>
        <w:tblStyle w:val="TableGrid"/>
        <w:tblW w:w="0" w:type="auto"/>
        <w:tblLook w:val="04A0" w:firstRow="1" w:lastRow="0" w:firstColumn="1" w:lastColumn="0" w:noHBand="0" w:noVBand="1"/>
      </w:tblPr>
      <w:tblGrid>
        <w:gridCol w:w="9350"/>
      </w:tblGrid>
      <w:tr w:rsidR="001C607B" w14:paraId="02F5D68F" w14:textId="77777777" w:rsidTr="00066F46">
        <w:tc>
          <w:tcPr>
            <w:tcW w:w="9350" w:type="dxa"/>
          </w:tcPr>
          <w:p w14:paraId="47D68258" w14:textId="77777777" w:rsidR="001C607B" w:rsidRPr="0091190C" w:rsidRDefault="001C607B" w:rsidP="00066F46">
            <w:pPr>
              <w:rPr>
                <w:b/>
                <w:bCs/>
                <w:lang w:eastAsia="x-none"/>
              </w:rPr>
            </w:pPr>
            <w:r w:rsidRPr="0091190C">
              <w:rPr>
                <w:highlight w:val="green"/>
                <w:lang w:eastAsia="x-none"/>
              </w:rPr>
              <w:t>Agreements</w:t>
            </w:r>
            <w:r w:rsidRPr="0091190C">
              <w:rPr>
                <w:b/>
                <w:bCs/>
                <w:lang w:eastAsia="x-none"/>
              </w:rPr>
              <w:t>:</w:t>
            </w:r>
          </w:p>
          <w:p w14:paraId="0B5350D9" w14:textId="77777777" w:rsidR="001C607B" w:rsidRPr="00940E1E" w:rsidRDefault="001C607B" w:rsidP="00066F46">
            <w:pPr>
              <w:pStyle w:val="BodyText"/>
              <w:numPr>
                <w:ilvl w:val="0"/>
                <w:numId w:val="29"/>
              </w:numPr>
              <w:overflowPunct/>
              <w:autoSpaceDE/>
              <w:autoSpaceDN/>
              <w:adjustRightInd/>
              <w:textAlignment w:val="auto"/>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1651575F" w14:textId="77777777" w:rsidR="001C607B" w:rsidRPr="000D7E84" w:rsidRDefault="001C607B" w:rsidP="00066F46">
            <w:pPr>
              <w:pStyle w:val="BodyText"/>
              <w:rPr>
                <w:rFonts w:eastAsia="DengXian"/>
                <w:b/>
                <w:bCs/>
                <w:lang w:eastAsia="zh-CN"/>
              </w:rPr>
            </w:pPr>
            <w:r w:rsidRPr="00554DF2">
              <w:t xml:space="preserve"> </w:t>
            </w:r>
            <w:r w:rsidRPr="000D7E84">
              <w:rPr>
                <w:rFonts w:eastAsia="DengXian"/>
                <w:highlight w:val="green"/>
                <w:lang w:eastAsia="zh-CN"/>
              </w:rPr>
              <w:t>Agreements</w:t>
            </w:r>
            <w:r w:rsidRPr="000D7E84">
              <w:rPr>
                <w:rFonts w:eastAsia="DengXian"/>
                <w:b/>
                <w:bCs/>
                <w:lang w:eastAsia="zh-CN"/>
              </w:rPr>
              <w:t>:</w:t>
            </w:r>
          </w:p>
          <w:p w14:paraId="4991966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 xml:space="preserve">The procedure for signalling, identifying priority for one or more synchronization references and selecting the synchronization reference from the LTE is re-used (as a </w:t>
            </w:r>
            <w:r w:rsidRPr="000D7E84">
              <w:rPr>
                <w:highlight w:val="darkYellow"/>
                <w:lang w:eastAsia="zh-CN"/>
              </w:rPr>
              <w:t>working assumption</w:t>
            </w:r>
            <w:r w:rsidRPr="000D7E84">
              <w:rPr>
                <w:lang w:eastAsia="zh-CN"/>
              </w:rPr>
              <w:t>) for NR SL</w:t>
            </w:r>
          </w:p>
          <w:p w14:paraId="7142C9EC"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SSIDs used for each priority</w:t>
            </w:r>
          </w:p>
          <w:p w14:paraId="2A4955E7"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other potential impacts due to P3/P4/P5</w:t>
            </w:r>
          </w:p>
          <w:p w14:paraId="5A71397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FFS whether there is an issue with prioritization among references of the same priority</w:t>
            </w:r>
          </w:p>
          <w:p w14:paraId="44B55235" w14:textId="77777777" w:rsidR="001C607B" w:rsidRPr="009076AC" w:rsidRDefault="001C607B" w:rsidP="00066F46">
            <w:pPr>
              <w:pStyle w:val="BodyText"/>
              <w:rPr>
                <w:rFonts w:eastAsia="DengXian"/>
                <w:b/>
                <w:bCs/>
                <w:lang w:eastAsia="zh-CN"/>
              </w:rPr>
            </w:pPr>
            <w:r w:rsidRPr="009076AC">
              <w:rPr>
                <w:rFonts w:eastAsia="DengXian"/>
                <w:highlight w:val="green"/>
                <w:lang w:eastAsia="zh-CN"/>
              </w:rPr>
              <w:t>Agreements</w:t>
            </w:r>
            <w:r w:rsidRPr="009076AC">
              <w:rPr>
                <w:rFonts w:eastAsia="DengXian"/>
                <w:b/>
                <w:bCs/>
                <w:lang w:eastAsia="zh-CN"/>
              </w:rPr>
              <w:t>:</w:t>
            </w:r>
          </w:p>
          <w:p w14:paraId="7B1F90E5" w14:textId="77777777" w:rsidR="001C607B" w:rsidRPr="009076AC" w:rsidRDefault="001C607B" w:rsidP="00066F46">
            <w:pPr>
              <w:spacing w:beforeLines="50" w:before="120" w:afterLines="50" w:after="120"/>
              <w:rPr>
                <w:rFonts w:eastAsia="DengXian"/>
                <w:bCs/>
                <w:iCs/>
                <w:lang w:eastAsia="zh-CN"/>
              </w:rPr>
            </w:pPr>
            <w:r w:rsidRPr="009076AC">
              <w:rPr>
                <w:rFonts w:eastAsia="DengXian" w:hint="eastAsia"/>
                <w:bCs/>
                <w:iCs/>
                <w:lang w:eastAsia="zh-CN"/>
              </w:rPr>
              <w:t xml:space="preserve">672 </w:t>
            </w:r>
            <w:r w:rsidRPr="009076AC">
              <w:rPr>
                <w:rFonts w:eastAsia="DengXian"/>
                <w:bCs/>
                <w:iCs/>
                <w:lang w:eastAsia="zh-CN"/>
              </w:rPr>
              <w:t>SL</w:t>
            </w:r>
            <w:r w:rsidRPr="009076AC">
              <w:rPr>
                <w:rFonts w:eastAsia="DengXian" w:hint="eastAsia"/>
                <w:bCs/>
                <w:iCs/>
                <w:lang w:eastAsia="zh-CN"/>
              </w:rPr>
              <w:t>-</w:t>
            </w:r>
            <w:r w:rsidRPr="009076AC">
              <w:rPr>
                <w:rFonts w:eastAsia="DengXian"/>
                <w:bCs/>
                <w:iCs/>
                <w:lang w:eastAsia="zh-CN"/>
              </w:rPr>
              <w:t xml:space="preserve">SSIDs </w:t>
            </w:r>
            <w:r w:rsidRPr="009076AC">
              <w:rPr>
                <w:rFonts w:eastAsia="DengXian" w:hint="eastAsia"/>
                <w:bCs/>
                <w:iCs/>
                <w:lang w:eastAsia="zh-CN"/>
              </w:rPr>
              <w:t>are</w:t>
            </w:r>
            <w:r w:rsidRPr="009076AC">
              <w:rPr>
                <w:rFonts w:eastAsia="DengXian"/>
                <w:bCs/>
                <w:iCs/>
                <w:lang w:eastAsia="zh-CN"/>
              </w:rPr>
              <w:t xml:space="preserve"> divided into 2 </w:t>
            </w:r>
            <w:r w:rsidRPr="009076AC">
              <w:rPr>
                <w:bCs/>
                <w:iCs/>
              </w:rPr>
              <w:t>sets to indicate different synchronization priorities</w:t>
            </w:r>
            <w:r w:rsidRPr="009076AC">
              <w:rPr>
                <w:rFonts w:eastAsia="DengXian"/>
                <w:bCs/>
                <w:iCs/>
                <w:lang w:eastAsia="zh-CN"/>
              </w:rPr>
              <w:t xml:space="preserve"> following a similar approach as in LTE-V2X</w:t>
            </w:r>
            <w:r w:rsidRPr="009076AC">
              <w:rPr>
                <w:rFonts w:eastAsia="DengXian" w:hint="eastAsia"/>
                <w:bCs/>
                <w:iCs/>
                <w:lang w:eastAsia="zh-CN"/>
              </w:rPr>
              <w:t xml:space="preserve">: </w:t>
            </w:r>
          </w:p>
          <w:p w14:paraId="050692A3"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rPr>
            </w:pPr>
            <w:r w:rsidRPr="009076AC">
              <w:rPr>
                <w:rFonts w:eastAsia="DengXian"/>
                <w:bCs/>
                <w:iCs/>
              </w:rPr>
              <w:t>Set id_net {0, 1, …, 335}</w:t>
            </w:r>
          </w:p>
          <w:p w14:paraId="68342AFD"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Set id_oon{336, 337, 338, …, 671}</w:t>
            </w:r>
          </w:p>
          <w:p w14:paraId="34621975"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lang w:eastAsia="zh-CN"/>
              </w:rPr>
              <w:t>The usage of 0 is the same as 0 as in LTE</w:t>
            </w:r>
          </w:p>
          <w:p w14:paraId="32776669"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336 is the same as 168 as in LTE</w:t>
            </w:r>
          </w:p>
          <w:p w14:paraId="29A099DF" w14:textId="77777777" w:rsidR="001C607B" w:rsidRPr="00526B20"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337 is the same as 169 as in LTE</w:t>
            </w:r>
          </w:p>
          <w:p w14:paraId="113BBDAE" w14:textId="77777777" w:rsidR="001C607B" w:rsidRPr="00396D5F" w:rsidRDefault="001C607B" w:rsidP="00066F46">
            <w:pPr>
              <w:pStyle w:val="BodyText"/>
              <w:rPr>
                <w:rFonts w:eastAsia="DengXian"/>
                <w:lang w:eastAsia="zh-CN"/>
              </w:rPr>
            </w:pPr>
            <w:r w:rsidRPr="00396D5F">
              <w:rPr>
                <w:rFonts w:eastAsia="DengXian"/>
                <w:highlight w:val="green"/>
                <w:lang w:eastAsia="zh-CN"/>
              </w:rPr>
              <w:t>Agreements</w:t>
            </w:r>
            <w:r w:rsidRPr="00396D5F">
              <w:rPr>
                <w:rFonts w:eastAsia="DengXian"/>
                <w:lang w:eastAsia="zh-CN"/>
              </w:rPr>
              <w:t>:</w:t>
            </w:r>
          </w:p>
          <w:p w14:paraId="3BE8827F" w14:textId="77777777" w:rsidR="001C607B" w:rsidRDefault="001C607B" w:rsidP="00066F46">
            <w:pPr>
              <w:rPr>
                <w:rFonts w:eastAsia="DengXian"/>
                <w:iCs/>
                <w:highlight w:val="darkYellow"/>
                <w:lang w:eastAsia="zh-CN"/>
              </w:rPr>
            </w:pPr>
            <w:r w:rsidRPr="00396D5F">
              <w:rPr>
                <w:rFonts w:eastAsia="DengXian"/>
                <w:iCs/>
                <w:lang w:eastAsia="zh-CN"/>
              </w:rPr>
              <w:t>Do not support 2/4/8 as the number of S-SSB transmissions within one S-SSB period for 15/30/60 KHz SCS for FR1, respectively.</w:t>
            </w:r>
          </w:p>
          <w:p w14:paraId="61E30426"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D23009E" w14:textId="77777777" w:rsidR="001C607B" w:rsidRDefault="001C607B" w:rsidP="001C607B">
            <w:pPr>
              <w:pStyle w:val="BodyText"/>
              <w:numPr>
                <w:ilvl w:val="0"/>
                <w:numId w:val="24"/>
              </w:numPr>
              <w:overflowPunct/>
              <w:autoSpaceDE/>
              <w:autoSpaceDN/>
              <w:adjustRightInd/>
              <w:textAlignment w:val="auto"/>
              <w:rPr>
                <w:szCs w:val="20"/>
                <w:lang w:val="en-GB" w:eastAsia="zh-CN"/>
              </w:rPr>
            </w:pPr>
            <w:r>
              <w:rPr>
                <w:lang w:val="en-GB" w:eastAsia="zh-CN"/>
              </w:rPr>
              <w:t>RS based synchronization can be supported by UE implementation without RAN1 specification impact.</w:t>
            </w:r>
          </w:p>
          <w:p w14:paraId="22DB8CEF"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BBA7700" w14:textId="77777777" w:rsidR="001C607B" w:rsidRDefault="001C607B" w:rsidP="00066F46">
            <w:pPr>
              <w:pStyle w:val="BodyText"/>
              <w:ind w:left="400" w:hanging="400"/>
              <w:rPr>
                <w:lang w:val="en-GB" w:eastAsia="zh-CN"/>
              </w:rPr>
            </w:pPr>
            <w:r>
              <w:rPr>
                <w:rFonts w:ascii="Symbol" w:hAnsi="Symbol"/>
                <w:lang w:val="en-GB" w:eastAsia="zh-CN"/>
              </w:rPr>
              <w:lastRenderedPageBreak/>
              <w:t></w:t>
            </w:r>
            <w:r>
              <w:rPr>
                <w:sz w:val="14"/>
                <w:szCs w:val="14"/>
                <w:lang w:val="en-GB" w:eastAsia="zh-CN"/>
              </w:rPr>
              <w:t xml:space="preserve">         </w:t>
            </w:r>
            <w:r>
              <w:rPr>
                <w:lang w:val="en-GB" w:eastAsia="zh-CN"/>
              </w:rPr>
              <w:t>For confirmation of the working assumption of synchronization priority rules, eNB/gNB should be included into the priority order of GNSS-based synchronization.</w:t>
            </w:r>
          </w:p>
          <w:tbl>
            <w:tblPr>
              <w:tblW w:w="7646" w:type="dxa"/>
              <w:jc w:val="center"/>
              <w:tblCellMar>
                <w:left w:w="0" w:type="dxa"/>
                <w:right w:w="0" w:type="dxa"/>
              </w:tblCellMar>
              <w:tblLook w:val="04A0" w:firstRow="1" w:lastRow="0" w:firstColumn="1" w:lastColumn="0" w:noHBand="0" w:noVBand="1"/>
            </w:tblPr>
            <w:tblGrid>
              <w:gridCol w:w="3917"/>
              <w:gridCol w:w="3729"/>
            </w:tblGrid>
            <w:tr w:rsidR="001C607B" w14:paraId="1ED7328B" w14:textId="77777777" w:rsidTr="00066F46">
              <w:trPr>
                <w:trHeight w:val="410"/>
                <w:jc w:val="center"/>
              </w:trPr>
              <w:tc>
                <w:tcPr>
                  <w:tcW w:w="39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B743476" w14:textId="77777777" w:rsidR="001C607B" w:rsidRDefault="001C607B" w:rsidP="00066F46">
                  <w:pPr>
                    <w:spacing w:beforeLines="50" w:before="120" w:afterLines="50" w:after="120" w:line="252" w:lineRule="auto"/>
                    <w:jc w:val="center"/>
                    <w:rPr>
                      <w:rFonts w:ascii="Arial" w:hAnsi="Arial" w:cs="Arial"/>
                      <w:color w:val="FFFFFF"/>
                      <w:sz w:val="21"/>
                      <w:szCs w:val="21"/>
                      <w:lang w:val="en-US"/>
                    </w:rPr>
                  </w:pPr>
                  <w:r>
                    <w:rPr>
                      <w:rFonts w:ascii="Arial" w:hAnsi="Arial" w:cs="Arial"/>
                      <w:b/>
                      <w:bCs/>
                      <w:color w:val="FFFFFF"/>
                    </w:rPr>
                    <w:t>GNSS-based synchronization</w:t>
                  </w:r>
                </w:p>
              </w:tc>
              <w:tc>
                <w:tcPr>
                  <w:tcW w:w="3729"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0D5733" w14:textId="77777777" w:rsidR="001C607B" w:rsidRDefault="001C607B" w:rsidP="00066F46">
                  <w:pPr>
                    <w:spacing w:beforeLines="50" w:before="120" w:afterLines="50" w:after="120" w:line="252" w:lineRule="auto"/>
                    <w:jc w:val="center"/>
                    <w:rPr>
                      <w:rFonts w:ascii="Arial" w:hAnsi="Arial" w:cs="Arial"/>
                      <w:color w:val="FFFFFF"/>
                      <w:sz w:val="21"/>
                      <w:szCs w:val="21"/>
                    </w:rPr>
                  </w:pPr>
                  <w:r>
                    <w:rPr>
                      <w:rFonts w:ascii="Arial" w:hAnsi="Arial" w:cs="Arial"/>
                      <w:b/>
                      <w:bCs/>
                      <w:color w:val="FFFFFF"/>
                    </w:rPr>
                    <w:t>gNB/eNB-based synchronization</w:t>
                  </w:r>
                </w:p>
              </w:tc>
            </w:tr>
            <w:tr w:rsidR="001C607B" w14:paraId="778AB876" w14:textId="77777777" w:rsidTr="00066F46">
              <w:trPr>
                <w:trHeight w:val="2142"/>
                <w:jc w:val="center"/>
              </w:trPr>
              <w:tc>
                <w:tcPr>
                  <w:tcW w:w="3917"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0BAD15E"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P0: GNSS </w:t>
                  </w:r>
                </w:p>
                <w:p w14:paraId="59FED8F1"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GNSS </w:t>
                  </w:r>
                </w:p>
                <w:p w14:paraId="20D56E91"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P2: UE indirectly synchronized to GNSS</w:t>
                  </w:r>
                </w:p>
                <w:p w14:paraId="36FF826C"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P3: gNB/eNB</w:t>
                  </w:r>
                </w:p>
                <w:p w14:paraId="033B4999"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P4: UE directly synchronized to gNB/eNB </w:t>
                  </w:r>
                </w:p>
                <w:p w14:paraId="14831653"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P5: UE indirectly synchronized to gNB/eNB </w:t>
                  </w:r>
                </w:p>
                <w:p w14:paraId="03FC3A49"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P6: the remaining UEs have the lowest priority.</w:t>
                  </w:r>
                </w:p>
              </w:tc>
              <w:tc>
                <w:tcPr>
                  <w:tcW w:w="3729"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E54BB9D"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P0’: gNB/eNB</w:t>
                  </w:r>
                </w:p>
                <w:p w14:paraId="13AE5F9D"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gNB/eNB </w:t>
                  </w:r>
                </w:p>
                <w:p w14:paraId="2396BAF7"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 xml:space="preserve">P2’: UE indirectly synchronized to gNB/eNB </w:t>
                  </w:r>
                </w:p>
                <w:p w14:paraId="688F60A8"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P3’: GNSS </w:t>
                  </w:r>
                </w:p>
                <w:p w14:paraId="5F7BFF72"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P4’: UE directly synchronized to GNSS </w:t>
                  </w:r>
                </w:p>
                <w:p w14:paraId="3303A044"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P5’: UE indirectly synchronized to GNSS</w:t>
                  </w:r>
                </w:p>
                <w:p w14:paraId="2D28211A"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P6’: the remaining UEs have the lowest priority. </w:t>
                  </w:r>
                </w:p>
              </w:tc>
            </w:tr>
          </w:tbl>
          <w:p w14:paraId="1FD374CA" w14:textId="77777777" w:rsidR="001C607B" w:rsidRDefault="001C607B" w:rsidP="00066F46">
            <w:pPr>
              <w:pStyle w:val="BodyText"/>
              <w:numPr>
                <w:ilvl w:val="1"/>
                <w:numId w:val="32"/>
              </w:numPr>
              <w:rPr>
                <w:rFonts w:eastAsiaTheme="minorHAnsi" w:cs="Calibri"/>
                <w:szCs w:val="20"/>
                <w:u w:val="single"/>
                <w:lang w:val="en-GB" w:eastAsia="zh-CN"/>
              </w:rPr>
            </w:pPr>
            <w:r>
              <w:rPr>
                <w:u w:val="single"/>
                <w:lang w:val="en-GB" w:eastAsia="zh-CN"/>
              </w:rPr>
              <w:t>When GNSS-based synchronization is (pre-)configured, it is also supported to disable the use of P3, P4, P5 by (pre-)configuration (i.e., a UE skips P3, P4, P5 in synchronization reference selection procedure). Details are up to RAN2</w:t>
            </w:r>
          </w:p>
          <w:p w14:paraId="0E342ED8" w14:textId="77777777" w:rsidR="001C607B" w:rsidRPr="00B62820" w:rsidRDefault="001C607B" w:rsidP="00066F46">
            <w:pPr>
              <w:spacing w:after="0"/>
              <w:rPr>
                <w:iCs/>
              </w:rPr>
            </w:pPr>
          </w:p>
        </w:tc>
      </w:tr>
    </w:tbl>
    <w:p w14:paraId="2C34E75E" w14:textId="77777777" w:rsidR="001C607B" w:rsidRDefault="001C607B" w:rsidP="001C607B">
      <w:pPr>
        <w:jc w:val="both"/>
        <w:rPr>
          <w:lang w:val="en-US"/>
        </w:rPr>
      </w:pPr>
    </w:p>
    <w:p w14:paraId="049CDC91" w14:textId="77777777" w:rsidR="001C607B" w:rsidRDefault="001C607B" w:rsidP="001C607B">
      <w:pPr>
        <w:jc w:val="both"/>
        <w:rPr>
          <w:lang w:eastAsia="zh-CN"/>
        </w:rPr>
      </w:pPr>
      <w:r>
        <w:rPr>
          <w:lang w:val="en-US"/>
        </w:rPr>
        <w:t xml:space="preserve">While it is agreed to largely leverage LTE V2X synchronization procedure for NR V2X (in particular, w.r.t. </w:t>
      </w:r>
      <w:r w:rsidRPr="000D7E84">
        <w:rPr>
          <w:lang w:eastAsia="zh-CN"/>
        </w:rPr>
        <w:t>procedure for signalling, identifying priority for one or more synchronization references and selecting the synchronization reference</w:t>
      </w:r>
      <w:r>
        <w:rPr>
          <w:lang w:eastAsia="zh-CN"/>
        </w:rPr>
        <w:t>)</w:t>
      </w:r>
      <w:r>
        <w:rPr>
          <w:lang w:val="en-US"/>
        </w:rPr>
        <w:t>, it was identified that further study is needed to determine “</w:t>
      </w:r>
      <w:r w:rsidRPr="000D7E84">
        <w:rPr>
          <w:lang w:eastAsia="zh-CN"/>
        </w:rPr>
        <w:t>whether there is an issue with prioritization among references of the same priority</w:t>
      </w:r>
      <w:r>
        <w:rPr>
          <w:lang w:eastAsia="zh-CN"/>
        </w:rPr>
        <w:t>”. The technical issue under consideration is if some enhancements are needed to allow for merging of independent synchronization clusters in the NR V2X synchronization procedure.</w:t>
      </w:r>
    </w:p>
    <w:p w14:paraId="10C661DF" w14:textId="3FB6EF22" w:rsidR="001C607B" w:rsidRDefault="001C607B" w:rsidP="001C607B">
      <w:pPr>
        <w:jc w:val="both"/>
        <w:rPr>
          <w:lang w:val="en-US"/>
        </w:rPr>
      </w:pPr>
      <w:r>
        <w:rPr>
          <w:lang w:eastAsia="zh-CN"/>
        </w:rPr>
        <w:t>In this contribution</w:t>
      </w:r>
      <w:r w:rsidR="00724E2B">
        <w:rPr>
          <w:lang w:eastAsia="zh-CN"/>
        </w:rPr>
        <w:t>,</w:t>
      </w:r>
      <w:r>
        <w:rPr>
          <w:lang w:eastAsia="zh-CN"/>
        </w:rPr>
        <w:t xml:space="preserve"> we propose a simple enhancement to enable merge of independent synchronization clusters in the NR V2X distributed synchronization procedure.</w:t>
      </w:r>
    </w:p>
    <w:p w14:paraId="25A56E85" w14:textId="77777777" w:rsidR="001C607B" w:rsidRDefault="001C607B" w:rsidP="001C607B">
      <w:pPr>
        <w:jc w:val="both"/>
        <w:rPr>
          <w:lang w:val="en-US"/>
        </w:rPr>
      </w:pPr>
    </w:p>
    <w:p w14:paraId="568DBB3B" w14:textId="77777777" w:rsidR="001C607B" w:rsidRDefault="001C607B" w:rsidP="001C607B">
      <w:pPr>
        <w:pStyle w:val="Heading1"/>
        <w:numPr>
          <w:ilvl w:val="0"/>
          <w:numId w:val="1"/>
        </w:numPr>
        <w:jc w:val="both"/>
        <w:rPr>
          <w:rFonts w:cs="Arial"/>
          <w:lang w:eastAsia="zh-CN"/>
        </w:rPr>
      </w:pPr>
      <w:r>
        <w:rPr>
          <w:rFonts w:cs="Arial"/>
          <w:lang w:eastAsia="zh-CN"/>
        </w:rPr>
        <w:t>Enabling merge of independent synchronization clusters</w:t>
      </w:r>
    </w:p>
    <w:p w14:paraId="1654BB40" w14:textId="2BAA0550" w:rsidR="001C607B" w:rsidRDefault="001C607B" w:rsidP="00167E94">
      <w:pPr>
        <w:jc w:val="both"/>
      </w:pPr>
      <w:bookmarkStart w:id="3" w:name="_Ref534967876"/>
      <w:r>
        <w:t>We evaluated the performance of the distributed synchronization procedure using the R14/15 LTE V2X synchronization procedure as the baseline and using assumptions in Appendix A assuming no UEs are under GNSS coverage (i.e., no UEs can be synchronized to GNSS). In this case, multiple independent synchronization sources are formed. However, during this exercise, we noticed an issue in the baseline R14 procedure that prevents different independent clusters to merge.</w:t>
      </w:r>
      <w:r w:rsidR="00527210">
        <w:t xml:space="preserve"> In general</w:t>
      </w:r>
      <w:r w:rsidR="00724E2B">
        <w:t>,</w:t>
      </w:r>
      <w:r w:rsidR="00527210">
        <w:t xml:space="preserve"> synchronisation is </w:t>
      </w:r>
      <w:r w:rsidR="00724E2B">
        <w:t xml:space="preserve">a </w:t>
      </w:r>
      <w:r w:rsidR="00527210">
        <w:t>critical component of V2X communications and since</w:t>
      </w:r>
      <w:r w:rsidR="00724E2B">
        <w:t xml:space="preserve"> the</w:t>
      </w:r>
      <w:r w:rsidR="00527210">
        <w:t xml:space="preserve"> ultimate goal of sidelink synchronisation is to achieve common synchronisation</w:t>
      </w:r>
      <w:r w:rsidR="00724E2B">
        <w:t>,</w:t>
      </w:r>
      <w:r w:rsidR="00527210">
        <w:t xml:space="preserve"> </w:t>
      </w:r>
      <w:r w:rsidR="00527210" w:rsidRPr="00167E94">
        <w:t xml:space="preserve">sidelink synchronisation should aim to </w:t>
      </w:r>
      <w:r w:rsidR="00771DC4" w:rsidRPr="00167E94">
        <w:t xml:space="preserve">form a single, unified cluster and </w:t>
      </w:r>
      <w:r w:rsidR="00527210" w:rsidRPr="00167E94">
        <w:t xml:space="preserve">avoid </w:t>
      </w:r>
      <w:r w:rsidR="00771DC4" w:rsidRPr="00167E94">
        <w:t xml:space="preserve">the </w:t>
      </w:r>
      <w:r w:rsidR="00527210" w:rsidRPr="00167E94">
        <w:t xml:space="preserve">formation of </w:t>
      </w:r>
      <w:r w:rsidR="00724E2B" w:rsidRPr="00167E94">
        <w:t xml:space="preserve">multiple </w:t>
      </w:r>
      <w:r w:rsidR="00527210" w:rsidRPr="00167E94">
        <w:t>clusters.</w:t>
      </w:r>
    </w:p>
    <w:p w14:paraId="4BA0408B" w14:textId="77777777" w:rsidR="001C607B" w:rsidRDefault="001C607B" w:rsidP="001C607B">
      <w:pPr>
        <w:jc w:val="both"/>
      </w:pPr>
      <w:r>
        <w:t>In case of no-GNSS UEs, all the UEs that are synchronization sources are independent synchronization sources and choose an ID between 338-671. In terms of SyncRef UE (re)selection, the priority of all such independent synchronization sources is assumed to be the same and SyncRef UE (re)selection is done based on RSRP alone. This presents a problem in merging of asynchronous clusters (even when some of the UEs can see the other cluster).</w:t>
      </w:r>
    </w:p>
    <w:p w14:paraId="5DD8FA79" w14:textId="1F3913A6" w:rsidR="001C607B" w:rsidRDefault="00724E2B" w:rsidP="001C607B">
      <w:pPr>
        <w:keepNext/>
        <w:jc w:val="center"/>
      </w:pPr>
      <w:r>
        <w:object w:dxaOrig="11173" w:dyaOrig="6369" w14:anchorId="79513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5pt;height:236.4pt" o:ole="">
            <v:imagedata r:id="rId11" o:title=""/>
          </v:shape>
          <o:OLEObject Type="Embed" ProgID="Visio.Drawing.11" ShapeID="_x0000_i1025" DrawAspect="Content" ObjectID="_1648950683" r:id="rId12"/>
        </w:object>
      </w:r>
    </w:p>
    <w:p w14:paraId="680DD5F6" w14:textId="77777777" w:rsidR="001C607B" w:rsidRPr="00167E94" w:rsidRDefault="001C607B" w:rsidP="001C607B">
      <w:pPr>
        <w:pStyle w:val="Caption"/>
        <w:jc w:val="center"/>
        <w:rPr>
          <w:i w:val="0"/>
          <w:color w:val="auto"/>
        </w:rPr>
      </w:pPr>
      <w:r w:rsidRPr="00167E94">
        <w:rPr>
          <w:i w:val="0"/>
          <w:color w:val="auto"/>
        </w:rPr>
        <w:t>Fig. 1: Illustration of the problem in baseline R14/15 procedure in merging of independent clusters</w:t>
      </w:r>
    </w:p>
    <w:p w14:paraId="75D62EAF" w14:textId="553D59C6" w:rsidR="001C607B" w:rsidRDefault="001C607B" w:rsidP="001C607B">
      <w:pPr>
        <w:jc w:val="both"/>
      </w:pPr>
      <w:r>
        <w:t>For the example scenario above, the UE at the edge of cluster</w:t>
      </w:r>
      <w:r w:rsidR="00724E2B">
        <w:t xml:space="preserve"> 1</w:t>
      </w:r>
      <w:r>
        <w:t xml:space="preserve"> see</w:t>
      </w:r>
      <w:r w:rsidR="00724E2B">
        <w:t>s</w:t>
      </w:r>
      <w:r>
        <w:t xml:space="preserve"> </w:t>
      </w:r>
      <w:r w:rsidR="00724E2B">
        <w:t>an</w:t>
      </w:r>
      <w:r>
        <w:t>other</w:t>
      </w:r>
      <w:r w:rsidR="00724E2B">
        <w:t xml:space="preserve"> UE synchronized to</w:t>
      </w:r>
      <w:r>
        <w:t xml:space="preserve"> SyncRef UE from cluster</w:t>
      </w:r>
      <w:r w:rsidR="00724E2B">
        <w:t xml:space="preserve"> </w:t>
      </w:r>
      <w:r w:rsidR="00F604DF">
        <w:t>2 but</w:t>
      </w:r>
      <w:r>
        <w:t xml:space="preserve"> may not (re)select to the other cluster as </w:t>
      </w:r>
      <w:r w:rsidR="00724E2B">
        <w:t xml:space="preserve">the </w:t>
      </w:r>
      <w:r>
        <w:t>RSRP to SyncRef UE in</w:t>
      </w:r>
      <w:r w:rsidR="00724E2B">
        <w:t xml:space="preserve"> the</w:t>
      </w:r>
      <w:r>
        <w:t xml:space="preserve"> current cluster is higher. This will naturally form a boundary around the clusters where the UEs at the boundary </w:t>
      </w:r>
      <w:r w:rsidR="00724E2B">
        <w:t>do not</w:t>
      </w:r>
      <w:r>
        <w:t xml:space="preserve"> leave their cluster even though they can detect SyncRef UEs of other clusters. This problem can also be observed at the system level simulations as presented below.</w:t>
      </w:r>
    </w:p>
    <w:p w14:paraId="34C9D421" w14:textId="66C4DA0C" w:rsidR="001C607B" w:rsidRDefault="001C607B" w:rsidP="001C607B">
      <w:pPr>
        <w:jc w:val="both"/>
      </w:pPr>
      <w:r>
        <w:t xml:space="preserve">The problem occurs since all the IDs in 338-671 have the same priority. In </w:t>
      </w:r>
      <w:r w:rsidR="00F604DF">
        <w:t>contrast if</w:t>
      </w:r>
      <w:r>
        <w:t xml:space="preserve"> we say priority of 338 &gt; 339&gt; .. &gt; 671, then the clusters will always try to merge towards the lowest priority SyncRef UE it detects within the OOC set (as long</w:t>
      </w:r>
      <w:r w:rsidR="00BF251E">
        <w:t xml:space="preserve"> as</w:t>
      </w:r>
      <w:r>
        <w:t xml:space="preserve"> RSRP&gt;threshold to ensure quality of the SyncRef UE is above a threshold</w:t>
      </w:r>
      <w:r w:rsidR="00BF251E">
        <w:t>,</w:t>
      </w:r>
      <w:r>
        <w:t xml:space="preserve"> as per current specification). When a UE decides to become </w:t>
      </w:r>
      <w:r w:rsidR="00BF251E">
        <w:t xml:space="preserve">an </w:t>
      </w:r>
      <w:r>
        <w:t>independent synchronization source, it still randomly picks up a SLS</w:t>
      </w:r>
      <w:r w:rsidR="00BF251E">
        <w:t>S</w:t>
      </w:r>
      <w:r>
        <w:t xml:space="preserve">ID within the set [338, 671] as per R14/15 specification. </w:t>
      </w:r>
    </w:p>
    <w:p w14:paraId="3DDBC6D6" w14:textId="08373E3C" w:rsidR="001C607B" w:rsidRDefault="001C607B" w:rsidP="001C607B">
      <w:pPr>
        <w:jc w:val="both"/>
      </w:pPr>
      <w:r>
        <w:t>Simulation results in Fig.2 show the PRR and synchronization performance to illustrate that</w:t>
      </w:r>
      <w:r w:rsidR="00BF251E">
        <w:t xml:space="preserve"> the</w:t>
      </w:r>
      <w:r>
        <w:t xml:space="preserve"> problem occurs in system simulations as well and can severely affect system performance (due to lack of common network wide synchronization).</w:t>
      </w:r>
    </w:p>
    <w:p w14:paraId="3367D935" w14:textId="77777777" w:rsidR="001C607B" w:rsidRDefault="001C607B" w:rsidP="001C607B">
      <w:pPr>
        <w:keepNext/>
        <w:jc w:val="center"/>
      </w:pPr>
      <w:r>
        <w:rPr>
          <w:noProof/>
          <w:color w:val="1F3864"/>
          <w:lang w:val="en-US"/>
        </w:rPr>
        <w:drawing>
          <wp:inline distT="0" distB="0" distL="0" distR="0" wp14:anchorId="3D672D7B" wp14:editId="3A4893D0">
            <wp:extent cx="2889970" cy="2169042"/>
            <wp:effectExtent l="0" t="0" r="0" b="3175"/>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908003" cy="2182576"/>
                    </a:xfrm>
                    <a:prstGeom prst="rect">
                      <a:avLst/>
                    </a:prstGeom>
                    <a:noFill/>
                    <a:ln>
                      <a:noFill/>
                    </a:ln>
                  </pic:spPr>
                </pic:pic>
              </a:graphicData>
            </a:graphic>
          </wp:inline>
        </w:drawing>
      </w:r>
    </w:p>
    <w:p w14:paraId="32049B73" w14:textId="77777777" w:rsidR="001C607B" w:rsidRPr="00F32770" w:rsidRDefault="001C607B" w:rsidP="001C607B">
      <w:pPr>
        <w:pStyle w:val="Caption"/>
        <w:jc w:val="center"/>
        <w:rPr>
          <w:i w:val="0"/>
          <w:color w:val="auto"/>
        </w:rPr>
      </w:pPr>
      <w:bookmarkStart w:id="4" w:name="_Ref16769502"/>
      <w:r w:rsidRPr="00F32770">
        <w:rPr>
          <w:i w:val="0"/>
          <w:color w:val="auto"/>
        </w:rPr>
        <w:t>Fig</w:t>
      </w:r>
      <w:r>
        <w:rPr>
          <w:i w:val="0"/>
          <w:color w:val="auto"/>
        </w:rPr>
        <w:t xml:space="preserve">. </w:t>
      </w:r>
      <w:bookmarkEnd w:id="4"/>
      <w:r>
        <w:rPr>
          <w:i w:val="0"/>
          <w:color w:val="auto"/>
        </w:rPr>
        <w:t>2</w:t>
      </w:r>
      <w:r w:rsidRPr="00F32770">
        <w:rPr>
          <w:i w:val="0"/>
          <w:color w:val="auto"/>
        </w:rPr>
        <w:t>: PRR vs Distance for (a) Perfect GNSS synchronization, (b) Sidelink synchronization without any GNSS using R14/15 procedure, and (c) Sidelink sync with lower OOC SLSS ID having higher priority than higher SLSS ID</w:t>
      </w:r>
    </w:p>
    <w:p w14:paraId="75CC5268" w14:textId="77777777" w:rsidR="001C607B" w:rsidRDefault="001C607B" w:rsidP="001C607B">
      <w:pPr>
        <w:jc w:val="both"/>
      </w:pPr>
      <w:r>
        <w:lastRenderedPageBreak/>
        <w:t xml:space="preserve">The PRR performance loss shown in Fig. 2 for the baseline R14/15 procedure occurs due to having multiple independent clusters co-existing even over a large period of simulation time (20sec). </w:t>
      </w:r>
    </w:p>
    <w:p w14:paraId="3A82527F" w14:textId="68C4EECC" w:rsidR="001C607B" w:rsidRDefault="001C607B" w:rsidP="001C607B">
      <w:pPr>
        <w:jc w:val="both"/>
      </w:pPr>
    </w:p>
    <w:p w14:paraId="34A3AF93" w14:textId="2A54970F" w:rsidR="001C607B" w:rsidRPr="00F32770" w:rsidRDefault="001C607B" w:rsidP="001C607B">
      <w:pPr>
        <w:pStyle w:val="Caption"/>
        <w:keepNext/>
        <w:jc w:val="center"/>
        <w:rPr>
          <w:i w:val="0"/>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1C607B" w14:paraId="5117F137" w14:textId="77777777" w:rsidTr="00066F46">
        <w:tc>
          <w:tcPr>
            <w:tcW w:w="4631" w:type="dxa"/>
            <w:tcBorders>
              <w:bottom w:val="single" w:sz="4" w:space="0" w:color="auto"/>
            </w:tcBorders>
          </w:tcPr>
          <w:p w14:paraId="0693614A" w14:textId="6A94A505" w:rsidR="001C607B" w:rsidRPr="00F32770" w:rsidRDefault="001C607B" w:rsidP="00066F46">
            <w:pPr>
              <w:spacing w:after="0"/>
              <w:jc w:val="center"/>
              <w:rPr>
                <w:b/>
              </w:rPr>
            </w:pPr>
            <w:r w:rsidRPr="00F32770">
              <w:rPr>
                <w:b/>
              </w:rPr>
              <w:t>R14/15 procedure</w:t>
            </w:r>
          </w:p>
        </w:tc>
        <w:tc>
          <w:tcPr>
            <w:tcW w:w="4719" w:type="dxa"/>
            <w:tcBorders>
              <w:bottom w:val="single" w:sz="4" w:space="0" w:color="auto"/>
            </w:tcBorders>
          </w:tcPr>
          <w:p w14:paraId="5F0800EA" w14:textId="77777777" w:rsidR="001C607B" w:rsidRPr="00F32770" w:rsidRDefault="001C607B" w:rsidP="00066F46">
            <w:pPr>
              <w:spacing w:after="0"/>
              <w:jc w:val="center"/>
              <w:rPr>
                <w:b/>
              </w:rPr>
            </w:pPr>
            <w:r w:rsidRPr="00F32770">
              <w:rPr>
                <w:b/>
              </w:rPr>
              <w:t>R14/15 procedure + lower SLSS ID having higher priority than higher SLSS ID</w:t>
            </w:r>
            <w:r>
              <w:rPr>
                <w:b/>
              </w:rPr>
              <w:t xml:space="preserve"> (as proposed)</w:t>
            </w:r>
          </w:p>
        </w:tc>
      </w:tr>
      <w:tr w:rsidR="001C607B" w14:paraId="704FFB12" w14:textId="77777777" w:rsidTr="00066F46">
        <w:tc>
          <w:tcPr>
            <w:tcW w:w="4631" w:type="dxa"/>
            <w:tcBorders>
              <w:top w:val="single" w:sz="4" w:space="0" w:color="auto"/>
            </w:tcBorders>
          </w:tcPr>
          <w:p w14:paraId="1E8DAD83" w14:textId="5AEB1F16" w:rsidR="001C607B" w:rsidRDefault="001C607B" w:rsidP="00066F46">
            <w:pPr>
              <w:spacing w:after="0"/>
              <w:jc w:val="center"/>
            </w:pPr>
            <w:r w:rsidRPr="005D091D">
              <w:rPr>
                <w:noProof/>
                <w:color w:val="1F3864"/>
                <w:lang w:val="en-US"/>
              </w:rPr>
              <w:drawing>
                <wp:inline distT="0" distB="0" distL="0" distR="0" wp14:anchorId="0D5B5B06" wp14:editId="04BF9B19">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3C464EF6" w14:textId="4A37D1EC" w:rsidR="001C607B" w:rsidRDefault="001C607B" w:rsidP="00066F46">
            <w:pPr>
              <w:spacing w:after="0"/>
              <w:jc w:val="center"/>
            </w:pPr>
            <w:r w:rsidRPr="005D091D">
              <w:rPr>
                <w:noProof/>
                <w:lang w:val="en-US"/>
              </w:rPr>
              <w:drawing>
                <wp:inline distT="0" distB="0" distL="0" distR="0" wp14:anchorId="45ADBE1C" wp14:editId="35632292">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132BC66A" w14:textId="344340C2" w:rsidR="00BF251E" w:rsidRPr="00167E94" w:rsidRDefault="00BF251E" w:rsidP="00167E94">
      <w:pPr>
        <w:jc w:val="both"/>
      </w:pPr>
    </w:p>
    <w:p w14:paraId="2949DE1C" w14:textId="02B474A6" w:rsidR="00BF251E" w:rsidRPr="00167E94" w:rsidRDefault="00167E94" w:rsidP="00167E94">
      <w:pPr>
        <w:pStyle w:val="Caption"/>
        <w:jc w:val="center"/>
        <w:rPr>
          <w:i w:val="0"/>
          <w:color w:val="auto"/>
        </w:rPr>
      </w:pPr>
      <w:r w:rsidRPr="00167E94">
        <w:rPr>
          <w:i w:val="0"/>
          <w:color w:val="auto"/>
        </w:rPr>
        <w:t>Fig 3</w:t>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 Independent synchronization sources are shown using cyan-coloured squares and highlighted in the figure.</w:t>
      </w:r>
    </w:p>
    <w:p w14:paraId="4369F2F2" w14:textId="660A040A" w:rsidR="001C607B" w:rsidRDefault="001C607B" w:rsidP="001C607B">
      <w:pPr>
        <w:jc w:val="both"/>
      </w:pPr>
      <w:r>
        <w:t>Note in the figures above, hops are colour coded as follows: first hop (blue), second hop (red), third hop (yellow), and fourth hop (purple). Layout as wraparound, but hops are shown as direct lines.</w:t>
      </w:r>
    </w:p>
    <w:p w14:paraId="529A1491" w14:textId="77777777" w:rsidR="001C607B" w:rsidRDefault="001C607B" w:rsidP="001C607B">
      <w:pPr>
        <w:jc w:val="both"/>
      </w:pPr>
      <w:r>
        <w:t>We further emphasize the aspects related to the above observations:</w:t>
      </w:r>
    </w:p>
    <w:p w14:paraId="7C13D2AB" w14:textId="4721B56F" w:rsidR="001C607B" w:rsidRDefault="001C607B" w:rsidP="001C607B">
      <w:pPr>
        <w:pStyle w:val="ListParagraph"/>
        <w:numPr>
          <w:ilvl w:val="0"/>
          <w:numId w:val="32"/>
        </w:numPr>
        <w:jc w:val="both"/>
      </w:pPr>
      <w:r w:rsidRPr="00081C0B">
        <w:rPr>
          <w:u w:val="single"/>
        </w:rPr>
        <w:t xml:space="preserve">How relevant is </w:t>
      </w:r>
      <w:r w:rsidRPr="008E52AF">
        <w:rPr>
          <w:u w:val="single"/>
        </w:rPr>
        <w:t xml:space="preserve">this scenario? </w:t>
      </w:r>
      <w:r>
        <w:t xml:space="preserve">It was debated whether this scenario can occur often in practice. It should be noted that it is </w:t>
      </w:r>
      <w:r w:rsidRPr="008E52AF">
        <w:rPr>
          <w:i/>
        </w:rPr>
        <w:t>quite common</w:t>
      </w:r>
      <w:r>
        <w:t xml:space="preserve"> for independent clusters to form in a real deployment. Long tunnels and underground or multi-storied parking lots are two very common and extremely relevant scenarios where independent clusters are easily formed. In a long tunnel, two independent clusters may form at the two ends and though UEs in the centre of the tunnel can see both the clusters, they will not merge based on the R14/15 procedure. Similarly, for multi-storied or underground parking lots (where there is no GNSS coverage and V2X communication is greatly beneficial), such independent clusters are easily formed. Various use cases captured in [4] also depends on robust synchronisation mechanism. In case of </w:t>
      </w:r>
      <w:r w:rsidR="00167E94">
        <w:t>p</w:t>
      </w:r>
      <w:r>
        <w:t xml:space="preserve">ublic safety, it is also common that different sets of first responders work in areas like </w:t>
      </w:r>
      <w:r w:rsidR="00167E94">
        <w:t xml:space="preserve">the </w:t>
      </w:r>
      <w:r>
        <w:t>basement of different buildings</w:t>
      </w:r>
      <w:r w:rsidR="00167E94">
        <w:t>,</w:t>
      </w:r>
      <w:r>
        <w:t xml:space="preserve"> forming independent clusters due to Rel-14/15 procedures. Whereas merger of such cluster will be highly desired.</w:t>
      </w:r>
    </w:p>
    <w:p w14:paraId="1F85DBB7" w14:textId="77777777" w:rsidR="001C607B" w:rsidRDefault="001C607B" w:rsidP="001C607B">
      <w:pPr>
        <w:pStyle w:val="ListParagraph"/>
        <w:ind w:left="420"/>
        <w:jc w:val="both"/>
        <w:rPr>
          <w:u w:val="single"/>
        </w:rPr>
      </w:pPr>
    </w:p>
    <w:p w14:paraId="6D4ABD0A" w14:textId="65128F7E" w:rsidR="001C607B" w:rsidRPr="008E52AF" w:rsidRDefault="001C607B" w:rsidP="001C607B">
      <w:pPr>
        <w:pStyle w:val="ListParagraph"/>
        <w:numPr>
          <w:ilvl w:val="0"/>
          <w:numId w:val="32"/>
        </w:numPr>
        <w:jc w:val="both"/>
        <w:rPr>
          <w:u w:val="single"/>
        </w:rPr>
      </w:pPr>
      <w:r>
        <w:rPr>
          <w:u w:val="single"/>
        </w:rPr>
        <w:t>In the s</w:t>
      </w:r>
      <w:r w:rsidRPr="008E52AF">
        <w:rPr>
          <w:u w:val="single"/>
        </w:rPr>
        <w:t>imulation results whether mobility and/or time will alleviate this problem?</w:t>
      </w:r>
      <w:r>
        <w:rPr>
          <w:u w:val="single"/>
        </w:rPr>
        <w:t xml:space="preserve"> </w:t>
      </w:r>
      <w:r>
        <w:t xml:space="preserve">It is emphasized that the simulation results presented above are with actual UE mobility. Further, note that </w:t>
      </w:r>
      <w:r w:rsidRPr="008E52AF">
        <w:rPr>
          <w:i/>
        </w:rPr>
        <w:t>even after</w:t>
      </w:r>
      <w:r>
        <w:t xml:space="preserve"> </w:t>
      </w:r>
      <w:r w:rsidRPr="008E52AF">
        <w:rPr>
          <w:i/>
        </w:rPr>
        <w:t>20seconds of simulation time, there are two independent clusters that persists in the system and do not merge</w:t>
      </w:r>
      <w:r>
        <w:t xml:space="preserve"> (with baseline R14/15 mechanism)</w:t>
      </w:r>
      <w:r w:rsidR="0077533B">
        <w:t>. In [5], more simulation results have been provided.</w:t>
      </w:r>
    </w:p>
    <w:p w14:paraId="6743265C" w14:textId="77777777" w:rsidR="001C607B" w:rsidRDefault="001C607B" w:rsidP="001C607B">
      <w:pPr>
        <w:pStyle w:val="ListParagraph"/>
        <w:ind w:left="420"/>
        <w:jc w:val="both"/>
        <w:rPr>
          <w:u w:val="single"/>
        </w:rPr>
      </w:pPr>
    </w:p>
    <w:p w14:paraId="16238FD6" w14:textId="1A332BA5" w:rsidR="001C607B" w:rsidRPr="00677716" w:rsidRDefault="001C607B" w:rsidP="001C607B">
      <w:pPr>
        <w:pStyle w:val="ListParagraph"/>
        <w:numPr>
          <w:ilvl w:val="0"/>
          <w:numId w:val="32"/>
        </w:numPr>
        <w:jc w:val="both"/>
        <w:rPr>
          <w:u w:val="single"/>
        </w:rPr>
      </w:pPr>
      <w:r w:rsidRPr="00677716">
        <w:rPr>
          <w:u w:val="single"/>
        </w:rPr>
        <w:t xml:space="preserve">Any impacts due to P3/P4/P5? </w:t>
      </w:r>
      <w:r w:rsidRPr="00677716">
        <w:t>In prior meetings</w:t>
      </w:r>
      <w:r w:rsidR="00BF251E">
        <w:t>,</w:t>
      </w:r>
      <w:r w:rsidRPr="00677716">
        <w:t xml:space="preserve"> some concerns were raised for the case when P3/P4/P5 are enabled based on pre-configuration and if this inhibits UEs to prioritize the gNB timing</w:t>
      </w:r>
      <w:r w:rsidR="00BF251E">
        <w:t>,</w:t>
      </w:r>
      <w:r w:rsidRPr="00677716">
        <w:t xml:space="preserve"> as in such</w:t>
      </w:r>
      <w:r w:rsidR="00BF251E">
        <w:t xml:space="preserve"> a</w:t>
      </w:r>
      <w:r w:rsidRPr="00677716">
        <w:t xml:space="preserve"> scenario it might be desired to prioritize S-RSRP over priority (i.e. prefer minimizing interference to gNB over merging of clusters). </w:t>
      </w:r>
      <w:r w:rsidR="0003159C">
        <w:t xml:space="preserve">However, </w:t>
      </w:r>
      <w:r w:rsidR="008261F4">
        <w:t>given that</w:t>
      </w:r>
      <w:r w:rsidR="0003159C">
        <w:t xml:space="preserve"> it is possible to pre-configure P3/P4/P5</w:t>
      </w:r>
      <w:r w:rsidR="008261F4">
        <w:t xml:space="preserve"> and </w:t>
      </w:r>
      <w:r w:rsidR="0003159C">
        <w:t xml:space="preserve">it is </w:t>
      </w:r>
      <w:r w:rsidR="008261F4">
        <w:t xml:space="preserve">also </w:t>
      </w:r>
      <w:r w:rsidR="0003159C">
        <w:t>possible to select SynchRef selection criteria based on RSRP or based on SLSS ID for P6</w:t>
      </w:r>
      <w:r w:rsidR="007438B9">
        <w:t>,</w:t>
      </w:r>
      <w:r w:rsidR="0003159C">
        <w:t xml:space="preserve"> NW operator</w:t>
      </w:r>
      <w:r w:rsidR="007438B9">
        <w:t>s</w:t>
      </w:r>
      <w:r w:rsidR="0003159C">
        <w:t xml:space="preserve"> will have </w:t>
      </w:r>
      <w:r w:rsidR="007438B9">
        <w:t xml:space="preserve">the </w:t>
      </w:r>
      <w:r w:rsidR="0003159C">
        <w:t>flexibility to choose</w:t>
      </w:r>
      <w:r w:rsidR="007438B9">
        <w:t xml:space="preserve"> </w:t>
      </w:r>
      <w:r w:rsidR="007438B9">
        <w:lastRenderedPageBreak/>
        <w:t>a</w:t>
      </w:r>
      <w:r w:rsidR="0003159C">
        <w:t xml:space="preserve"> </w:t>
      </w:r>
      <w:r w:rsidR="00F604DF">
        <w:t>desired criterion</w:t>
      </w:r>
      <w:r w:rsidR="0003159C">
        <w:t xml:space="preserve"> based on the </w:t>
      </w:r>
      <w:r w:rsidR="008261F4">
        <w:t>preference</w:t>
      </w:r>
      <w:r w:rsidR="0003159C">
        <w:t xml:space="preserve">. </w:t>
      </w:r>
      <w:r w:rsidR="00674DCE">
        <w:t xml:space="preserve"> RSRP based criteria can be selected if interference mitigation is prioritised than larger clusters as per NW operator policy.</w:t>
      </w:r>
    </w:p>
    <w:p w14:paraId="6D51B43F" w14:textId="77777777" w:rsidR="001C607B" w:rsidRPr="008E52AF" w:rsidRDefault="001C607B" w:rsidP="001C607B">
      <w:pPr>
        <w:pStyle w:val="ListParagraph"/>
        <w:ind w:left="420"/>
        <w:jc w:val="both"/>
        <w:rPr>
          <w:u w:val="single"/>
        </w:rPr>
      </w:pPr>
    </w:p>
    <w:p w14:paraId="727CB4DE" w14:textId="7B243B63" w:rsidR="001C607B" w:rsidRDefault="001C607B" w:rsidP="001C607B">
      <w:pPr>
        <w:jc w:val="both"/>
      </w:pPr>
      <w:r>
        <w:t xml:space="preserve">Based on the above rationale and system simulations, we propose the following enhancement to the baseline LTE V2X synchronization procedure </w:t>
      </w:r>
      <w:r w:rsidR="00674DCE">
        <w:t xml:space="preserve">as critical addition </w:t>
      </w:r>
      <w:r>
        <w:t xml:space="preserve">to enabling merge of independent synchronization clusters </w:t>
      </w:r>
    </w:p>
    <w:p w14:paraId="35339CB7" w14:textId="77777777" w:rsidR="001C607B" w:rsidRDefault="001C607B" w:rsidP="001C607B">
      <w:pPr>
        <w:jc w:val="both"/>
        <w:rPr>
          <w:b/>
        </w:rPr>
      </w:pPr>
      <w:bookmarkStart w:id="5" w:name="_Hlk21003052"/>
    </w:p>
    <w:bookmarkEnd w:id="5"/>
    <w:p w14:paraId="58D86782" w14:textId="74EEF0FB" w:rsidR="003348C1" w:rsidRDefault="003348C1" w:rsidP="003348C1">
      <w:pPr>
        <w:pStyle w:val="ListParagraph"/>
        <w:spacing w:after="150"/>
        <w:ind w:left="420" w:right="300" w:hanging="420"/>
        <w:jc w:val="both"/>
      </w:pPr>
      <w:r w:rsidRPr="00F32770">
        <w:rPr>
          <w:b/>
        </w:rPr>
        <w:t xml:space="preserve">Proposal </w:t>
      </w:r>
      <w:r>
        <w:rPr>
          <w:b/>
        </w:rPr>
        <w:t>1</w:t>
      </w:r>
      <w:r w:rsidRPr="00F32770">
        <w:rPr>
          <w:b/>
        </w:rPr>
        <w:t>:</w:t>
      </w:r>
      <w:r>
        <w:t xml:space="preserve"> If </w:t>
      </w:r>
      <w:r w:rsidR="0003159C">
        <w:t>(</w:t>
      </w:r>
      <w:r>
        <w:t>pre</w:t>
      </w:r>
      <w:r w:rsidR="0003159C">
        <w:t>)</w:t>
      </w:r>
      <w:r>
        <w:t xml:space="preserve">-configured </w:t>
      </w:r>
      <w:r w:rsidRPr="003348C1">
        <w:t>in a carrier</w:t>
      </w:r>
      <w:r>
        <w:t>, the mechanism given below replaces the RSRP-based SynchRefUE selection only for P6 and P6’ priority case.</w:t>
      </w:r>
    </w:p>
    <w:p w14:paraId="0107DCB1" w14:textId="77777777" w:rsidR="003348C1" w:rsidRDefault="003348C1" w:rsidP="003348C1">
      <w:pPr>
        <w:pStyle w:val="ListParagraph"/>
        <w:numPr>
          <w:ilvl w:val="0"/>
          <w:numId w:val="34"/>
        </w:numPr>
        <w:spacing w:after="150"/>
        <w:ind w:right="300"/>
        <w:jc w:val="both"/>
      </w:pPr>
      <w:r>
        <w:t xml:space="preserve">For the prioritization among references of the same priority for P6/P6’ UE, UEs select the lowest SLSS ID SynchRefUE among the SyncRefUEs with RSRP&gt;threshold. </w:t>
      </w:r>
    </w:p>
    <w:p w14:paraId="2234E51A" w14:textId="7C9868CB" w:rsidR="001C607B" w:rsidRDefault="001C607B" w:rsidP="00674DCE">
      <w:pPr>
        <w:pStyle w:val="ListParagraph"/>
        <w:ind w:left="840"/>
        <w:jc w:val="both"/>
      </w:pPr>
    </w:p>
    <w:p w14:paraId="28726458" w14:textId="40C0B3D9" w:rsidR="00527210" w:rsidRPr="00527210" w:rsidRDefault="00527210" w:rsidP="00527210">
      <w:r w:rsidRPr="00527210">
        <w:rPr>
          <w:b/>
          <w:bCs/>
        </w:rPr>
        <w:t>Proposal 2</w:t>
      </w:r>
      <w:r w:rsidRPr="00527210">
        <w:t>: Future work on sidelink enhancements should aim to avoid formation of clusters.</w:t>
      </w:r>
    </w:p>
    <w:p w14:paraId="4ADB2EC5" w14:textId="77777777" w:rsidR="00527210" w:rsidRPr="00F32770" w:rsidRDefault="00527210" w:rsidP="00527210">
      <w:pPr>
        <w:pStyle w:val="ListParagraph"/>
        <w:ind w:left="0"/>
        <w:jc w:val="both"/>
      </w:pPr>
    </w:p>
    <w:bookmarkEnd w:id="3"/>
    <w:p w14:paraId="6245DF80" w14:textId="77777777" w:rsidR="001C607B" w:rsidRPr="00677958" w:rsidRDefault="001C607B" w:rsidP="001C607B">
      <w:pPr>
        <w:pStyle w:val="Heading1"/>
        <w:numPr>
          <w:ilvl w:val="0"/>
          <w:numId w:val="1"/>
        </w:numPr>
        <w:jc w:val="both"/>
        <w:rPr>
          <w:rFonts w:cs="Arial"/>
          <w:lang w:eastAsia="zh-CN"/>
        </w:rPr>
      </w:pPr>
      <w:r>
        <w:rPr>
          <w:rFonts w:cs="Arial"/>
          <w:lang w:eastAsia="zh-CN"/>
        </w:rPr>
        <w:t>Conclusions</w:t>
      </w:r>
    </w:p>
    <w:p w14:paraId="2D9C0F29" w14:textId="77777777" w:rsidR="001C607B" w:rsidRDefault="001C607B" w:rsidP="001C607B">
      <w:pPr>
        <w:jc w:val="both"/>
      </w:pPr>
      <w:r>
        <w:t>In this contribution, we propose the following enhancement to the baseline LTE V2X synchronization procedure to enabling merge of independent synchronization clusters.</w:t>
      </w:r>
    </w:p>
    <w:p w14:paraId="25001DCE" w14:textId="392A3A40" w:rsidR="003348C1" w:rsidRDefault="001C607B" w:rsidP="003348C1">
      <w:pPr>
        <w:pStyle w:val="ListParagraph"/>
        <w:spacing w:after="150"/>
        <w:ind w:left="420" w:right="300" w:hanging="420"/>
        <w:jc w:val="both"/>
      </w:pPr>
      <w:bookmarkStart w:id="6" w:name="_Hlk30509829"/>
      <w:r w:rsidRPr="00F32770">
        <w:rPr>
          <w:b/>
        </w:rPr>
        <w:t xml:space="preserve">Proposal </w:t>
      </w:r>
      <w:r>
        <w:rPr>
          <w:b/>
        </w:rPr>
        <w:t>1</w:t>
      </w:r>
      <w:r w:rsidRPr="00F32770">
        <w:rPr>
          <w:b/>
        </w:rPr>
        <w:t>:</w:t>
      </w:r>
      <w:r w:rsidR="003348C1">
        <w:t xml:space="preserve"> If </w:t>
      </w:r>
      <w:r w:rsidR="00674DCE">
        <w:t>(</w:t>
      </w:r>
      <w:r w:rsidR="003348C1">
        <w:t>pre</w:t>
      </w:r>
      <w:r w:rsidR="00674DCE">
        <w:t>)</w:t>
      </w:r>
      <w:r w:rsidR="003348C1">
        <w:t xml:space="preserve">-configured </w:t>
      </w:r>
      <w:r w:rsidR="003348C1" w:rsidRPr="003348C1">
        <w:t>in a carrier</w:t>
      </w:r>
      <w:r w:rsidR="003348C1">
        <w:t>, the mechanism given below replaces the RSRP-based SynchRefUE selection only for P6 and P6’ priority case.</w:t>
      </w:r>
    </w:p>
    <w:p w14:paraId="35B4799F" w14:textId="4E25A16B" w:rsidR="001C607B" w:rsidRDefault="003348C1" w:rsidP="003348C1">
      <w:pPr>
        <w:pStyle w:val="ListParagraph"/>
        <w:numPr>
          <w:ilvl w:val="0"/>
          <w:numId w:val="34"/>
        </w:numPr>
        <w:spacing w:after="150"/>
        <w:ind w:right="300"/>
        <w:jc w:val="both"/>
      </w:pPr>
      <w:r>
        <w:t>For the prioritization among references of the same priority for P6/P6’ UE, UEs select the lowest SLSS ID SynchRefUE among the SyncRefUEs with RSRP&gt;threshold.</w:t>
      </w:r>
      <w:r w:rsidR="001C607B">
        <w:t xml:space="preserve"> </w:t>
      </w:r>
    </w:p>
    <w:p w14:paraId="14AE6170" w14:textId="77777777" w:rsidR="00527210" w:rsidRDefault="00527210" w:rsidP="00527210">
      <w:pPr>
        <w:pStyle w:val="ListParagraph"/>
        <w:spacing w:after="150"/>
        <w:ind w:left="840" w:right="300"/>
        <w:jc w:val="both"/>
      </w:pPr>
    </w:p>
    <w:bookmarkEnd w:id="6"/>
    <w:p w14:paraId="391DB8C7" w14:textId="3BC063BA" w:rsidR="00527210" w:rsidRPr="00527210" w:rsidRDefault="00527210" w:rsidP="00527210">
      <w:pPr>
        <w:pStyle w:val="ListParagraph"/>
        <w:ind w:left="0"/>
      </w:pPr>
      <w:r w:rsidRPr="00527210">
        <w:rPr>
          <w:b/>
          <w:bCs/>
        </w:rPr>
        <w:t>Proposal 2</w:t>
      </w:r>
      <w:r w:rsidRPr="00527210">
        <w:t>: Future work on sidelink enhancements should aim to avoid formation of clusters.</w:t>
      </w:r>
    </w:p>
    <w:p w14:paraId="67AA8CA5" w14:textId="77777777" w:rsidR="001C607B" w:rsidRPr="00F32770" w:rsidRDefault="001C607B" w:rsidP="00527210">
      <w:pPr>
        <w:jc w:val="both"/>
      </w:pPr>
    </w:p>
    <w:bookmarkEnd w:id="0"/>
    <w:p w14:paraId="14E28583" w14:textId="77777777" w:rsidR="001C607B" w:rsidRDefault="001C607B" w:rsidP="001C607B">
      <w:pPr>
        <w:pStyle w:val="Heading1"/>
        <w:jc w:val="both"/>
      </w:pPr>
      <w:r>
        <w:t>References</w:t>
      </w:r>
    </w:p>
    <w:p w14:paraId="5128B7D3" w14:textId="77777777" w:rsidR="001C607B" w:rsidRPr="004D3239"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#97, Chairman’s Notes, May, 2019.</w:t>
      </w:r>
    </w:p>
    <w:p w14:paraId="2220ED33" w14:textId="77777777" w:rsidR="001C607B"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 Chairman’s Notes</w:t>
      </w:r>
      <w:r>
        <w:rPr>
          <w:bCs/>
          <w:kern w:val="2"/>
        </w:rPr>
        <w:t>, Aug. 2019.</w:t>
      </w:r>
    </w:p>
    <w:p w14:paraId="6438854F" w14:textId="2DA71B72" w:rsidR="001C607B" w:rsidRPr="006B5732"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#98bis, Chairman’s Note</w:t>
      </w:r>
      <w:r w:rsidR="007438B9">
        <w:rPr>
          <w:bCs/>
          <w:kern w:val="2"/>
          <w:sz w:val="20"/>
        </w:rPr>
        <w:t>s</w:t>
      </w:r>
      <w:r>
        <w:rPr>
          <w:bCs/>
          <w:kern w:val="2"/>
          <w:sz w:val="20"/>
        </w:rPr>
        <w:t>, Oct. 2019.</w:t>
      </w:r>
    </w:p>
    <w:p w14:paraId="675F01FC" w14:textId="77777777" w:rsidR="001C607B" w:rsidRDefault="00C90937" w:rsidP="001C607B">
      <w:pPr>
        <w:pStyle w:val="Reference"/>
        <w:numPr>
          <w:ilvl w:val="0"/>
          <w:numId w:val="11"/>
        </w:numPr>
        <w:overflowPunct/>
        <w:autoSpaceDE/>
        <w:autoSpaceDN/>
        <w:adjustRightInd/>
        <w:spacing w:before="120" w:after="0" w:line="280" w:lineRule="atLeast"/>
        <w:textAlignment w:val="auto"/>
        <w:rPr>
          <w:bCs/>
          <w:kern w:val="2"/>
        </w:rPr>
      </w:pPr>
      <w:hyperlink r:id="rId17" w:history="1">
        <w:r w:rsidR="001C607B" w:rsidRPr="00A57E08">
          <w:rPr>
            <w:rStyle w:val="Hyperlink"/>
            <w:bCs/>
            <w:kern w:val="2"/>
          </w:rPr>
          <w:t>https://5gaa.org/wp-content/uploads/2019/07/5GAA_191906_WP_CV2X_UCs_v1.pdf</w:t>
        </w:r>
      </w:hyperlink>
    </w:p>
    <w:p w14:paraId="42DC1C07" w14:textId="2BF927D6" w:rsidR="001C607B" w:rsidRPr="00F06440" w:rsidRDefault="00767F15" w:rsidP="00767F15">
      <w:pPr>
        <w:pStyle w:val="Reference"/>
        <w:numPr>
          <w:ilvl w:val="0"/>
          <w:numId w:val="0"/>
        </w:numPr>
        <w:overflowPunct/>
        <w:autoSpaceDE/>
        <w:autoSpaceDN/>
        <w:adjustRightInd/>
        <w:spacing w:before="120" w:after="0" w:line="280" w:lineRule="atLeast"/>
        <w:textAlignment w:val="auto"/>
        <w:rPr>
          <w:bCs/>
          <w:kern w:val="2"/>
        </w:rPr>
      </w:pPr>
      <w:r>
        <w:rPr>
          <w:bCs/>
          <w:kern w:val="2"/>
        </w:rPr>
        <w:t>[5] R1-2000967, “Synchronisation details for NR-V2X”, Qualcomm Incorporated</w:t>
      </w:r>
    </w:p>
    <w:p w14:paraId="112C1F93" w14:textId="77777777" w:rsidR="001C607B" w:rsidRDefault="001C607B" w:rsidP="001C607B">
      <w:pPr>
        <w:jc w:val="both"/>
      </w:pPr>
    </w:p>
    <w:p w14:paraId="64C3F483" w14:textId="77777777" w:rsidR="001C607B" w:rsidRDefault="001C607B" w:rsidP="001C607B">
      <w:pPr>
        <w:jc w:val="both"/>
      </w:pPr>
    </w:p>
    <w:p w14:paraId="4C882293" w14:textId="77777777" w:rsidR="001C607B" w:rsidRDefault="001C607B" w:rsidP="001C607B">
      <w:pPr>
        <w:jc w:val="both"/>
      </w:pPr>
    </w:p>
    <w:p w14:paraId="1DA34B34" w14:textId="77777777" w:rsidR="001C607B" w:rsidRDefault="001C607B" w:rsidP="001C607B">
      <w:pPr>
        <w:jc w:val="both"/>
      </w:pPr>
    </w:p>
    <w:p w14:paraId="1C88CFA7" w14:textId="77777777" w:rsidR="001C607B" w:rsidRDefault="001C607B" w:rsidP="001C607B">
      <w:pPr>
        <w:jc w:val="both"/>
      </w:pPr>
    </w:p>
    <w:p w14:paraId="4792F144" w14:textId="77777777" w:rsidR="001C607B" w:rsidRDefault="001C607B" w:rsidP="001C607B">
      <w:pPr>
        <w:jc w:val="both"/>
      </w:pPr>
    </w:p>
    <w:p w14:paraId="6B3E8EFF" w14:textId="77777777" w:rsidR="001C607B" w:rsidRDefault="001C607B" w:rsidP="001C607B">
      <w:pPr>
        <w:jc w:val="both"/>
      </w:pPr>
    </w:p>
    <w:p w14:paraId="5A00CFE9" w14:textId="77777777" w:rsidR="001C607B" w:rsidRDefault="001C607B" w:rsidP="001C607B"/>
    <w:p w14:paraId="6C350079" w14:textId="77777777" w:rsidR="001C607B" w:rsidRDefault="001C607B" w:rsidP="001C607B">
      <w:pPr>
        <w:spacing w:after="160" w:line="259" w:lineRule="auto"/>
      </w:pPr>
      <w:r>
        <w:br w:type="page"/>
      </w:r>
    </w:p>
    <w:p w14:paraId="48601233" w14:textId="77777777" w:rsidR="001C607B" w:rsidRDefault="001C607B" w:rsidP="001C607B">
      <w:pPr>
        <w:pStyle w:val="Heading1"/>
        <w:jc w:val="both"/>
      </w:pPr>
      <w:r>
        <w:lastRenderedPageBreak/>
        <w:t>Appendix A. Synchronization simulation modelling</w:t>
      </w:r>
    </w:p>
    <w:p w14:paraId="28A70C44" w14:textId="77777777" w:rsidR="001C607B" w:rsidRDefault="001C607B" w:rsidP="001C607B">
      <w:pPr>
        <w:jc w:val="both"/>
        <w:rPr>
          <w:b/>
          <w:u w:val="single"/>
          <w:lang w:eastAsia="zh-CN"/>
        </w:rPr>
      </w:pPr>
      <w:r>
        <w:rPr>
          <w:b/>
          <w:u w:val="single"/>
          <w:lang w:eastAsia="zh-CN"/>
        </w:rPr>
        <w:t>UE oscillator modelling (frequency drift modelling at the UE)</w:t>
      </w:r>
    </w:p>
    <w:p w14:paraId="2B8E4919" w14:textId="77777777" w:rsidR="001C607B" w:rsidRDefault="001C607B" w:rsidP="001C607B">
      <w:pPr>
        <w:jc w:val="both"/>
        <w:rPr>
          <w:lang w:eastAsia="zh-CN"/>
        </w:rPr>
      </w:pPr>
      <w:r>
        <w:rPr>
          <w:lang w:eastAsia="zh-CN"/>
        </w:rPr>
        <w:t>When the UE is directly synchronized to GNSS,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C9706FF" w14:textId="77777777" w:rsidR="001C607B" w:rsidRDefault="001C607B" w:rsidP="001C607B">
      <w:pPr>
        <w:jc w:val="both"/>
        <w:rPr>
          <w:lang w:eastAsia="zh-CN"/>
        </w:rPr>
      </w:pPr>
      <w:r>
        <w:rPr>
          <w:lang w:eastAsia="zh-CN"/>
        </w:rPr>
        <w:t>When the UE loses GNSS coverage, the XO drift is modelled as:</w:t>
      </w:r>
    </w:p>
    <w:p w14:paraId="18F41FFC" w14:textId="77777777" w:rsidR="001C607B" w:rsidRDefault="00C90937"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87BB4A0" w14:textId="77777777" w:rsidR="001C607B" w:rsidRDefault="001C607B" w:rsidP="001C607B">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synchronized to GNSS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oscillator. The corresponding timing uncertainty is then the area under the triangle as:</w:t>
      </w:r>
    </w:p>
    <w:p w14:paraId="6CCD5329" w14:textId="77777777" w:rsidR="001C607B" w:rsidRDefault="00C90937"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BFC4176" w14:textId="77777777" w:rsidR="001C607B" w:rsidRDefault="001C607B" w:rsidP="001C607B">
      <w:pPr>
        <w:jc w:val="both"/>
        <w:rPr>
          <w:lang w:eastAsia="zh-CN"/>
        </w:rPr>
      </w:pPr>
      <w:r>
        <w:rPr>
          <w:lang w:eastAsia="zh-CN"/>
        </w:rPr>
        <w:t>If the UE is synchronized to another UE, the time and frequency uncertainty in the synchronization source is accounted for as an offset in the above equations, i.e. Tunc = Tunc (source) + Tunc (XO); Func = Func(source) + Func(XO). The oscillator still drifts from the time got synchronized to the UE.</w:t>
      </w:r>
    </w:p>
    <w:p w14:paraId="3767FF32" w14:textId="77777777" w:rsidR="001C607B" w:rsidRDefault="001C607B" w:rsidP="001C607B">
      <w:pPr>
        <w:jc w:val="both"/>
        <w:rPr>
          <w:lang w:eastAsia="zh-CN"/>
        </w:rPr>
      </w:pPr>
      <w:r>
        <w:rPr>
          <w:lang w:eastAsia="zh-CN"/>
        </w:rPr>
        <w:t xml:space="preserve">At the initial time of drop, if the UE is not synchronized to GNSS, the timing and frequency uncertainty is chosen uniformly in [-3.5us 3.5us] and [-100ppb, 100ppb], respectively. </w:t>
      </w:r>
    </w:p>
    <w:p w14:paraId="2BB5E4E7" w14:textId="77777777" w:rsidR="001C607B" w:rsidRDefault="001C607B" w:rsidP="001C607B">
      <w:pPr>
        <w:jc w:val="both"/>
        <w:rPr>
          <w:b/>
          <w:u w:val="single"/>
          <w:lang w:eastAsia="zh-CN"/>
        </w:rPr>
      </w:pPr>
      <w:r>
        <w:rPr>
          <w:b/>
          <w:u w:val="single"/>
          <w:lang w:eastAsia="zh-CN"/>
        </w:rPr>
        <w:t>UE time / frequency error requirements for transmission</w:t>
      </w:r>
    </w:p>
    <w:p w14:paraId="7C1B2D2F" w14:textId="77777777" w:rsidR="001C607B" w:rsidRDefault="001C607B" w:rsidP="001C607B">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9A157EA" w14:textId="77777777" w:rsidR="001C607B" w:rsidRDefault="001C607B" w:rsidP="001C607B">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7DB67EF3"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5D313367"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38DCB76" w14:textId="77777777" w:rsidR="001C607B" w:rsidRDefault="001C607B" w:rsidP="001C607B">
      <w:pPr>
        <w:jc w:val="both"/>
        <w:rPr>
          <w:b/>
          <w:u w:val="single"/>
          <w:lang w:eastAsia="zh-CN"/>
        </w:rPr>
      </w:pPr>
      <w:r>
        <w:rPr>
          <w:b/>
          <w:u w:val="single"/>
          <w:lang w:eastAsia="zh-CN"/>
        </w:rPr>
        <w:t>Modelling of time/frequency error in reception</w:t>
      </w:r>
    </w:p>
    <w:p w14:paraId="31C34DED" w14:textId="77777777" w:rsidR="001C607B" w:rsidRDefault="001C607B" w:rsidP="001C607B">
      <w:pPr>
        <w:jc w:val="both"/>
        <w:rPr>
          <w:lang w:eastAsia="zh-CN"/>
        </w:rPr>
      </w:pPr>
      <w:r>
        <w:rPr>
          <w:lang w:eastAsia="zh-CN"/>
        </w:rPr>
        <w:t>Given the timing/frequency errors at the transmitter and the receiver, we use the following model to assume if the Rx UE can receive the transmission from the Tx UE.</w:t>
      </w:r>
    </w:p>
    <w:p w14:paraId="2C9151B1" w14:textId="77777777" w:rsidR="001C607B" w:rsidRDefault="001C607B" w:rsidP="001C607B">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5DF7CFE9" w14:textId="77777777" w:rsidR="001C607B" w:rsidRDefault="001C607B" w:rsidP="001C607B">
      <w:pPr>
        <w:jc w:val="both"/>
        <w:rPr>
          <w:lang w:eastAsia="zh-CN"/>
        </w:rPr>
      </w:pPr>
      <w:r>
        <w:rPr>
          <w:lang w:eastAsia="zh-CN"/>
        </w:rPr>
        <w:t>For ISI-free reception, we want to have</w:t>
      </w:r>
    </w:p>
    <w:p w14:paraId="06F00AF8" w14:textId="77777777" w:rsidR="001C607B" w:rsidRPr="00A928CC" w:rsidRDefault="00C90937" w:rsidP="001C607B">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1E18018" w14:textId="77777777" w:rsidR="001C607B" w:rsidRDefault="001C607B" w:rsidP="001C607B">
      <w:pPr>
        <w:keepNext/>
        <w:jc w:val="center"/>
      </w:pPr>
      <w:r>
        <w:object w:dxaOrig="8724" w:dyaOrig="7435" w14:anchorId="3B7D3501">
          <v:shape id="_x0000_i1026" type="#_x0000_t75" style="width:244.5pt;height:201.5pt" o:ole="">
            <v:imagedata r:id="rId18" o:title=""/>
          </v:shape>
          <o:OLEObject Type="Embed" ProgID="Visio.Drawing.11" ShapeID="_x0000_i1026" DrawAspect="Content" ObjectID="_1648950684" r:id="rId19"/>
        </w:object>
      </w:r>
    </w:p>
    <w:p w14:paraId="02FBF4CF" w14:textId="77777777" w:rsidR="001C607B" w:rsidRPr="00B1675A" w:rsidRDefault="001C607B" w:rsidP="001C607B">
      <w:pPr>
        <w:jc w:val="center"/>
        <w:rPr>
          <w:sz w:val="18"/>
          <w:szCs w:val="18"/>
        </w:rPr>
      </w:pPr>
      <w:r w:rsidRPr="00B1675A">
        <w:rPr>
          <w:sz w:val="18"/>
          <w:szCs w:val="18"/>
        </w:rPr>
        <w:t>Fig. B.</w:t>
      </w:r>
      <w:r>
        <w:rPr>
          <w:sz w:val="18"/>
          <w:szCs w:val="18"/>
        </w:rPr>
        <w:t>1</w:t>
      </w:r>
      <w:r w:rsidRPr="00B1675A">
        <w:rPr>
          <w:sz w:val="18"/>
          <w:szCs w:val="18"/>
        </w:rPr>
        <w:t>: Modelling assumption for ISI-free reception at the receiver</w:t>
      </w:r>
    </w:p>
    <w:p w14:paraId="16EB65BE" w14:textId="77777777" w:rsidR="001C607B" w:rsidRDefault="001C607B" w:rsidP="001C607B">
      <w:pPr>
        <w:jc w:val="both"/>
      </w:pPr>
      <w:r>
        <w:t>For frequency error between transmitter and receiver, we assume a CFO pulling range of 1kHz (that can be achieved by DMRS symbols that are 0.5ms apart (slot length with 30kHz SCS).</w:t>
      </w:r>
    </w:p>
    <w:p w14:paraId="5FAAFADF" w14:textId="77777777" w:rsidR="001C607B" w:rsidRDefault="001C607B" w:rsidP="001C607B">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20407C19" w14:textId="1BB7EADF" w:rsidR="00DA0AF8" w:rsidRPr="001C607B" w:rsidRDefault="00DA0AF8" w:rsidP="001C607B"/>
    <w:sectPr w:rsidR="00DA0AF8" w:rsidRPr="001C60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5952D" w14:textId="77777777" w:rsidR="00373639" w:rsidRDefault="00373639" w:rsidP="002B4298">
      <w:pPr>
        <w:spacing w:after="0"/>
      </w:pPr>
      <w:r>
        <w:separator/>
      </w:r>
    </w:p>
  </w:endnote>
  <w:endnote w:type="continuationSeparator" w:id="0">
    <w:p w14:paraId="798AE932" w14:textId="77777777" w:rsidR="00373639" w:rsidRDefault="00373639" w:rsidP="002B4298">
      <w:pPr>
        <w:spacing w:after="0"/>
      </w:pPr>
      <w:r>
        <w:continuationSeparator/>
      </w:r>
    </w:p>
  </w:endnote>
  <w:endnote w:type="continuationNotice" w:id="1">
    <w:p w14:paraId="4B8DEA8D" w14:textId="77777777" w:rsidR="00373639" w:rsidRDefault="00373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89E9" w14:textId="77777777" w:rsidR="00373639" w:rsidRDefault="00373639" w:rsidP="002B4298">
      <w:pPr>
        <w:spacing w:after="0"/>
      </w:pPr>
      <w:r>
        <w:separator/>
      </w:r>
    </w:p>
  </w:footnote>
  <w:footnote w:type="continuationSeparator" w:id="0">
    <w:p w14:paraId="49B93A42" w14:textId="77777777" w:rsidR="00373639" w:rsidRDefault="00373639" w:rsidP="002B4298">
      <w:pPr>
        <w:spacing w:after="0"/>
      </w:pPr>
      <w:r>
        <w:continuationSeparator/>
      </w:r>
    </w:p>
  </w:footnote>
  <w:footnote w:type="continuationNotice" w:id="1">
    <w:p w14:paraId="3D891665" w14:textId="77777777" w:rsidR="00373639" w:rsidRDefault="00373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07D53"/>
    <w:multiLevelType w:val="hybridMultilevel"/>
    <w:tmpl w:val="68EA50C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43931"/>
    <w:multiLevelType w:val="hybridMultilevel"/>
    <w:tmpl w:val="A7AC138C"/>
    <w:lvl w:ilvl="0" w:tplc="CCDA4582">
      <w:start w:val="1"/>
      <w:numFmt w:val="bullet"/>
      <w:lvlText w:val=""/>
      <w:lvlJc w:val="left"/>
      <w:pPr>
        <w:ind w:left="840" w:hanging="42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52C20"/>
    <w:multiLevelType w:val="hybridMultilevel"/>
    <w:tmpl w:val="4F68B4FC"/>
    <w:lvl w:ilvl="0" w:tplc="FE7454BE">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BDE7A0C"/>
    <w:multiLevelType w:val="hybridMultilevel"/>
    <w:tmpl w:val="D8664644"/>
    <w:lvl w:ilvl="0" w:tplc="CCDA4582">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A468D"/>
    <w:multiLevelType w:val="hybridMultilevel"/>
    <w:tmpl w:val="8376D15A"/>
    <w:lvl w:ilvl="0" w:tplc="E94A6C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0"/>
  </w:num>
  <w:num w:numId="2">
    <w:abstractNumId w:val="13"/>
  </w:num>
  <w:num w:numId="3">
    <w:abstractNumId w:val="21"/>
  </w:num>
  <w:num w:numId="4">
    <w:abstractNumId w:val="3"/>
  </w:num>
  <w:num w:numId="5">
    <w:abstractNumId w:val="28"/>
  </w:num>
  <w:num w:numId="6">
    <w:abstractNumId w:val="10"/>
  </w:num>
  <w:num w:numId="7">
    <w:abstractNumId w:val="27"/>
  </w:num>
  <w:num w:numId="8">
    <w:abstractNumId w:val="25"/>
  </w:num>
  <w:num w:numId="9">
    <w:abstractNumId w:val="0"/>
  </w:num>
  <w:num w:numId="10">
    <w:abstractNumId w:val="14"/>
  </w:num>
  <w:num w:numId="11">
    <w:abstractNumId w:val="31"/>
  </w:num>
  <w:num w:numId="12">
    <w:abstractNumId w:val="15"/>
  </w:num>
  <w:num w:numId="13">
    <w:abstractNumId w:val="16"/>
  </w:num>
  <w:num w:numId="14">
    <w:abstractNumId w:val="22"/>
  </w:num>
  <w:num w:numId="15">
    <w:abstractNumId w:val="9"/>
  </w:num>
  <w:num w:numId="16">
    <w:abstractNumId w:val="18"/>
  </w:num>
  <w:num w:numId="17">
    <w:abstractNumId w:val="11"/>
  </w:num>
  <w:num w:numId="18">
    <w:abstractNumId w:val="1"/>
  </w:num>
  <w:num w:numId="19">
    <w:abstractNumId w:val="4"/>
  </w:num>
  <w:num w:numId="20">
    <w:abstractNumId w:val="6"/>
  </w:num>
  <w:num w:numId="21">
    <w:abstractNumId w:val="30"/>
  </w:num>
  <w:num w:numId="22">
    <w:abstractNumId w:val="8"/>
  </w:num>
  <w:num w:numId="23">
    <w:abstractNumId w:val="19"/>
  </w:num>
  <w:num w:numId="24">
    <w:abstractNumId w:val="23"/>
  </w:num>
  <w:num w:numId="25">
    <w:abstractNumId w:val="8"/>
  </w:num>
  <w:num w:numId="26">
    <w:abstractNumId w:val="12"/>
  </w:num>
  <w:num w:numId="27">
    <w:abstractNumId w:val="29"/>
  </w:num>
  <w:num w:numId="28">
    <w:abstractNumId w:val="7"/>
  </w:num>
  <w:num w:numId="29">
    <w:abstractNumId w:val="17"/>
  </w:num>
  <w:num w:numId="30">
    <w:abstractNumId w:val="23"/>
  </w:num>
  <w:num w:numId="31">
    <w:abstractNumId w:val="2"/>
  </w:num>
  <w:num w:numId="32">
    <w:abstractNumId w:val="24"/>
  </w:num>
  <w:num w:numId="33">
    <w:abstractNumId w:val="2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7AE"/>
    <w:rsid w:val="000000AE"/>
    <w:rsid w:val="0001493C"/>
    <w:rsid w:val="00016955"/>
    <w:rsid w:val="00022088"/>
    <w:rsid w:val="000232D1"/>
    <w:rsid w:val="0003159C"/>
    <w:rsid w:val="00034328"/>
    <w:rsid w:val="000344F3"/>
    <w:rsid w:val="000624E1"/>
    <w:rsid w:val="000703C5"/>
    <w:rsid w:val="00077571"/>
    <w:rsid w:val="00081C0B"/>
    <w:rsid w:val="000A5B2A"/>
    <w:rsid w:val="000B300C"/>
    <w:rsid w:val="000B3310"/>
    <w:rsid w:val="000C07B8"/>
    <w:rsid w:val="000C3C06"/>
    <w:rsid w:val="000D66E8"/>
    <w:rsid w:val="000E1C58"/>
    <w:rsid w:val="000E4517"/>
    <w:rsid w:val="00146328"/>
    <w:rsid w:val="00163442"/>
    <w:rsid w:val="001675B5"/>
    <w:rsid w:val="00167E94"/>
    <w:rsid w:val="00177913"/>
    <w:rsid w:val="0018030D"/>
    <w:rsid w:val="00182502"/>
    <w:rsid w:val="001849BB"/>
    <w:rsid w:val="00193405"/>
    <w:rsid w:val="00196CA4"/>
    <w:rsid w:val="001A0642"/>
    <w:rsid w:val="001C607B"/>
    <w:rsid w:val="001D6F21"/>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C358E"/>
    <w:rsid w:val="002D0E6C"/>
    <w:rsid w:val="002D248C"/>
    <w:rsid w:val="002D3D5D"/>
    <w:rsid w:val="002D648D"/>
    <w:rsid w:val="002E45A6"/>
    <w:rsid w:val="002E752D"/>
    <w:rsid w:val="002F0C43"/>
    <w:rsid w:val="00300A80"/>
    <w:rsid w:val="00310F74"/>
    <w:rsid w:val="003348C1"/>
    <w:rsid w:val="00336EA5"/>
    <w:rsid w:val="003442F1"/>
    <w:rsid w:val="00347A91"/>
    <w:rsid w:val="00373639"/>
    <w:rsid w:val="0039745B"/>
    <w:rsid w:val="003A17E3"/>
    <w:rsid w:val="003A2906"/>
    <w:rsid w:val="003A4AF6"/>
    <w:rsid w:val="003B6D12"/>
    <w:rsid w:val="003C3CB2"/>
    <w:rsid w:val="003C657B"/>
    <w:rsid w:val="003D6CED"/>
    <w:rsid w:val="003F24A8"/>
    <w:rsid w:val="003F5247"/>
    <w:rsid w:val="004031C8"/>
    <w:rsid w:val="004055D1"/>
    <w:rsid w:val="0040652A"/>
    <w:rsid w:val="00415208"/>
    <w:rsid w:val="00417938"/>
    <w:rsid w:val="0044073B"/>
    <w:rsid w:val="00447104"/>
    <w:rsid w:val="004513A0"/>
    <w:rsid w:val="004533AD"/>
    <w:rsid w:val="004607C2"/>
    <w:rsid w:val="004704E8"/>
    <w:rsid w:val="00483054"/>
    <w:rsid w:val="00493A72"/>
    <w:rsid w:val="0049630A"/>
    <w:rsid w:val="004A0B44"/>
    <w:rsid w:val="004A1D52"/>
    <w:rsid w:val="004A38D7"/>
    <w:rsid w:val="004A47C5"/>
    <w:rsid w:val="004A5767"/>
    <w:rsid w:val="004A66D4"/>
    <w:rsid w:val="004A6E2C"/>
    <w:rsid w:val="004B1BB5"/>
    <w:rsid w:val="004C3E72"/>
    <w:rsid w:val="004C5240"/>
    <w:rsid w:val="004D3239"/>
    <w:rsid w:val="004D3417"/>
    <w:rsid w:val="004F4429"/>
    <w:rsid w:val="005141F9"/>
    <w:rsid w:val="00527210"/>
    <w:rsid w:val="00553802"/>
    <w:rsid w:val="00560358"/>
    <w:rsid w:val="00566A06"/>
    <w:rsid w:val="00574B06"/>
    <w:rsid w:val="0058695E"/>
    <w:rsid w:val="005A6F2B"/>
    <w:rsid w:val="005C0140"/>
    <w:rsid w:val="005D091D"/>
    <w:rsid w:val="005D7567"/>
    <w:rsid w:val="005E23F2"/>
    <w:rsid w:val="005E2DF7"/>
    <w:rsid w:val="005E4B3D"/>
    <w:rsid w:val="005E4FF1"/>
    <w:rsid w:val="005F6926"/>
    <w:rsid w:val="006109D3"/>
    <w:rsid w:val="006137F9"/>
    <w:rsid w:val="00614065"/>
    <w:rsid w:val="00617EA4"/>
    <w:rsid w:val="006269B1"/>
    <w:rsid w:val="00635E5C"/>
    <w:rsid w:val="00651EF2"/>
    <w:rsid w:val="00666D2E"/>
    <w:rsid w:val="00674DCE"/>
    <w:rsid w:val="0068521E"/>
    <w:rsid w:val="00685CFF"/>
    <w:rsid w:val="006A24D6"/>
    <w:rsid w:val="006A6BA4"/>
    <w:rsid w:val="006A727A"/>
    <w:rsid w:val="006B3C03"/>
    <w:rsid w:val="006C53A8"/>
    <w:rsid w:val="006E4E3E"/>
    <w:rsid w:val="006E7836"/>
    <w:rsid w:val="00711448"/>
    <w:rsid w:val="007133A6"/>
    <w:rsid w:val="007230C3"/>
    <w:rsid w:val="00724D1A"/>
    <w:rsid w:val="00724E2B"/>
    <w:rsid w:val="007438B9"/>
    <w:rsid w:val="00747452"/>
    <w:rsid w:val="007514F7"/>
    <w:rsid w:val="0076571F"/>
    <w:rsid w:val="00767F15"/>
    <w:rsid w:val="00771DC4"/>
    <w:rsid w:val="00773D11"/>
    <w:rsid w:val="0077526B"/>
    <w:rsid w:val="0077533B"/>
    <w:rsid w:val="00780218"/>
    <w:rsid w:val="00786563"/>
    <w:rsid w:val="00786D54"/>
    <w:rsid w:val="00787807"/>
    <w:rsid w:val="00791EAA"/>
    <w:rsid w:val="007A3AFC"/>
    <w:rsid w:val="007A5F37"/>
    <w:rsid w:val="007C3DBC"/>
    <w:rsid w:val="007E2181"/>
    <w:rsid w:val="007E348D"/>
    <w:rsid w:val="007F7AD4"/>
    <w:rsid w:val="008009A5"/>
    <w:rsid w:val="00803A64"/>
    <w:rsid w:val="008133BF"/>
    <w:rsid w:val="0081473C"/>
    <w:rsid w:val="00822873"/>
    <w:rsid w:val="008261F4"/>
    <w:rsid w:val="0082760D"/>
    <w:rsid w:val="00827621"/>
    <w:rsid w:val="00851D17"/>
    <w:rsid w:val="008820E1"/>
    <w:rsid w:val="008B0CB2"/>
    <w:rsid w:val="008B3A38"/>
    <w:rsid w:val="008D47AA"/>
    <w:rsid w:val="008E5025"/>
    <w:rsid w:val="008E52AF"/>
    <w:rsid w:val="008F3FBA"/>
    <w:rsid w:val="00903065"/>
    <w:rsid w:val="00911D12"/>
    <w:rsid w:val="009339C5"/>
    <w:rsid w:val="00945836"/>
    <w:rsid w:val="00955DEB"/>
    <w:rsid w:val="00960E6B"/>
    <w:rsid w:val="00963CAF"/>
    <w:rsid w:val="00974924"/>
    <w:rsid w:val="009758FE"/>
    <w:rsid w:val="00984068"/>
    <w:rsid w:val="009849B1"/>
    <w:rsid w:val="00986061"/>
    <w:rsid w:val="00987F5B"/>
    <w:rsid w:val="00990DE8"/>
    <w:rsid w:val="009C5688"/>
    <w:rsid w:val="009E1DAC"/>
    <w:rsid w:val="009F00B6"/>
    <w:rsid w:val="00A02138"/>
    <w:rsid w:val="00A02E41"/>
    <w:rsid w:val="00A0332A"/>
    <w:rsid w:val="00A04B5E"/>
    <w:rsid w:val="00A51804"/>
    <w:rsid w:val="00A625E0"/>
    <w:rsid w:val="00A917AE"/>
    <w:rsid w:val="00A9233B"/>
    <w:rsid w:val="00A94A66"/>
    <w:rsid w:val="00AB7335"/>
    <w:rsid w:val="00AC08C6"/>
    <w:rsid w:val="00AE67AF"/>
    <w:rsid w:val="00AF64FE"/>
    <w:rsid w:val="00B13D06"/>
    <w:rsid w:val="00B15DD1"/>
    <w:rsid w:val="00B1675A"/>
    <w:rsid w:val="00B23BA8"/>
    <w:rsid w:val="00B26FFF"/>
    <w:rsid w:val="00B34563"/>
    <w:rsid w:val="00B42B20"/>
    <w:rsid w:val="00B45862"/>
    <w:rsid w:val="00B45882"/>
    <w:rsid w:val="00B62820"/>
    <w:rsid w:val="00B77186"/>
    <w:rsid w:val="00B85DD7"/>
    <w:rsid w:val="00BA1224"/>
    <w:rsid w:val="00BA68FA"/>
    <w:rsid w:val="00BB1F3A"/>
    <w:rsid w:val="00BC41F6"/>
    <w:rsid w:val="00BD17DC"/>
    <w:rsid w:val="00BE2ADE"/>
    <w:rsid w:val="00BF251E"/>
    <w:rsid w:val="00C11F4A"/>
    <w:rsid w:val="00C27BBF"/>
    <w:rsid w:val="00C6288C"/>
    <w:rsid w:val="00C63D9A"/>
    <w:rsid w:val="00C71AA9"/>
    <w:rsid w:val="00C821E4"/>
    <w:rsid w:val="00C90937"/>
    <w:rsid w:val="00C97B96"/>
    <w:rsid w:val="00CA07A0"/>
    <w:rsid w:val="00CA0980"/>
    <w:rsid w:val="00CB1188"/>
    <w:rsid w:val="00CB47DE"/>
    <w:rsid w:val="00CB545C"/>
    <w:rsid w:val="00CC10CA"/>
    <w:rsid w:val="00CC5F2C"/>
    <w:rsid w:val="00CE4D50"/>
    <w:rsid w:val="00CE5893"/>
    <w:rsid w:val="00CF27EA"/>
    <w:rsid w:val="00CF3073"/>
    <w:rsid w:val="00CF73B0"/>
    <w:rsid w:val="00D10F66"/>
    <w:rsid w:val="00D1119A"/>
    <w:rsid w:val="00D16A39"/>
    <w:rsid w:val="00D17D13"/>
    <w:rsid w:val="00D23855"/>
    <w:rsid w:val="00D35E26"/>
    <w:rsid w:val="00D36114"/>
    <w:rsid w:val="00D50505"/>
    <w:rsid w:val="00D61129"/>
    <w:rsid w:val="00D679BC"/>
    <w:rsid w:val="00D71F11"/>
    <w:rsid w:val="00D73283"/>
    <w:rsid w:val="00D8372A"/>
    <w:rsid w:val="00D87106"/>
    <w:rsid w:val="00DA0AF8"/>
    <w:rsid w:val="00DA3AAB"/>
    <w:rsid w:val="00DB08A3"/>
    <w:rsid w:val="00DB78D3"/>
    <w:rsid w:val="00DC0349"/>
    <w:rsid w:val="00DC0FF1"/>
    <w:rsid w:val="00DC134A"/>
    <w:rsid w:val="00DC436A"/>
    <w:rsid w:val="00DD3FF6"/>
    <w:rsid w:val="00DD6DF4"/>
    <w:rsid w:val="00DE4CA8"/>
    <w:rsid w:val="00DE6A95"/>
    <w:rsid w:val="00DF2D10"/>
    <w:rsid w:val="00DF6C7D"/>
    <w:rsid w:val="00E04F24"/>
    <w:rsid w:val="00E053DA"/>
    <w:rsid w:val="00E13E61"/>
    <w:rsid w:val="00E8391E"/>
    <w:rsid w:val="00E87013"/>
    <w:rsid w:val="00EB28C6"/>
    <w:rsid w:val="00ED0959"/>
    <w:rsid w:val="00ED1898"/>
    <w:rsid w:val="00EF461C"/>
    <w:rsid w:val="00EF7827"/>
    <w:rsid w:val="00F06440"/>
    <w:rsid w:val="00F2498F"/>
    <w:rsid w:val="00F24A2F"/>
    <w:rsid w:val="00F32770"/>
    <w:rsid w:val="00F45711"/>
    <w:rsid w:val="00F476B3"/>
    <w:rsid w:val="00F604DF"/>
    <w:rsid w:val="00F71328"/>
    <w:rsid w:val="00F75C12"/>
    <w:rsid w:val="00F77119"/>
    <w:rsid w:val="00FB4441"/>
    <w:rsid w:val="00FC25AC"/>
    <w:rsid w:val="00FE2320"/>
    <w:rsid w:val="00FE7233"/>
    <w:rsid w:val="00FE73C4"/>
    <w:rsid w:val="00FF2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1C60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649995">
      <w:bodyDiv w:val="1"/>
      <w:marLeft w:val="0"/>
      <w:marRight w:val="0"/>
      <w:marTop w:val="0"/>
      <w:marBottom w:val="0"/>
      <w:divBdr>
        <w:top w:val="none" w:sz="0" w:space="0" w:color="auto"/>
        <w:left w:val="none" w:sz="0" w:space="0" w:color="auto"/>
        <w:bottom w:val="none" w:sz="0" w:space="0" w:color="auto"/>
        <w:right w:val="none" w:sz="0" w:space="0" w:color="auto"/>
      </w:divBdr>
    </w:div>
    <w:div w:id="540820658">
      <w:bodyDiv w:val="1"/>
      <w:marLeft w:val="0"/>
      <w:marRight w:val="0"/>
      <w:marTop w:val="0"/>
      <w:marBottom w:val="0"/>
      <w:divBdr>
        <w:top w:val="none" w:sz="0" w:space="0" w:color="auto"/>
        <w:left w:val="none" w:sz="0" w:space="0" w:color="auto"/>
        <w:bottom w:val="none" w:sz="0" w:space="0" w:color="auto"/>
        <w:right w:val="none" w:sz="0" w:space="0" w:color="auto"/>
      </w:divBdr>
    </w:div>
    <w:div w:id="665743052">
      <w:bodyDiv w:val="1"/>
      <w:marLeft w:val="0"/>
      <w:marRight w:val="0"/>
      <w:marTop w:val="0"/>
      <w:marBottom w:val="0"/>
      <w:divBdr>
        <w:top w:val="none" w:sz="0" w:space="0" w:color="auto"/>
        <w:left w:val="none" w:sz="0" w:space="0" w:color="auto"/>
        <w:bottom w:val="none" w:sz="0" w:space="0" w:color="auto"/>
        <w:right w:val="none" w:sz="0" w:space="0" w:color="auto"/>
      </w:divBdr>
    </w:div>
    <w:div w:id="844515016">
      <w:bodyDiv w:val="1"/>
      <w:marLeft w:val="0"/>
      <w:marRight w:val="0"/>
      <w:marTop w:val="0"/>
      <w:marBottom w:val="0"/>
      <w:divBdr>
        <w:top w:val="none" w:sz="0" w:space="0" w:color="auto"/>
        <w:left w:val="none" w:sz="0" w:space="0" w:color="auto"/>
        <w:bottom w:val="none" w:sz="0" w:space="0" w:color="auto"/>
        <w:right w:val="none" w:sz="0" w:space="0" w:color="auto"/>
      </w:divBdr>
    </w:div>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207331015">
      <w:bodyDiv w:val="1"/>
      <w:marLeft w:val="0"/>
      <w:marRight w:val="0"/>
      <w:marTop w:val="0"/>
      <w:marBottom w:val="0"/>
      <w:divBdr>
        <w:top w:val="none" w:sz="0" w:space="0" w:color="auto"/>
        <w:left w:val="none" w:sz="0" w:space="0" w:color="auto"/>
        <w:bottom w:val="none" w:sz="0" w:space="0" w:color="auto"/>
        <w:right w:val="none" w:sz="0" w:space="0" w:color="auto"/>
      </w:divBdr>
    </w:div>
    <w:div w:id="1299997691">
      <w:bodyDiv w:val="1"/>
      <w:marLeft w:val="0"/>
      <w:marRight w:val="0"/>
      <w:marTop w:val="0"/>
      <w:marBottom w:val="0"/>
      <w:divBdr>
        <w:top w:val="none" w:sz="0" w:space="0" w:color="auto"/>
        <w:left w:val="none" w:sz="0" w:space="0" w:color="auto"/>
        <w:bottom w:val="none" w:sz="0" w:space="0" w:color="auto"/>
        <w:right w:val="none" w:sz="0" w:space="0" w:color="auto"/>
      </w:divBdr>
    </w:div>
    <w:div w:id="1645037291">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 w:id="200874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yperlink" Target="https://5gaa.org/wp-content/uploads/2019/07/5GAA_191906_WP_CV2X_UCs_v1.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4C80.9AC6EA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SRVZ567275SS-924214940-2044</_dlc_DocId>
    <_dlc_DocIdUrl xmlns="932dab1a-f806-440a-b546-5f112cb4e652">
      <Url>https://projects.qualcomm.com/sites/libra/_layouts/15/DocIdRedir.aspx?ID=SRVZ567275SS-924214940-2044</Url>
      <Description>SRVZ567275SS-924214940-2044</Description>
    </_dlc_DocIdUrl>
  </documentManagement>
</p:properties>
</file>

<file path=customXml/itemProps1.xml><?xml version="1.0" encoding="utf-8"?>
<ds:datastoreItem xmlns:ds="http://schemas.openxmlformats.org/officeDocument/2006/customXml" ds:itemID="{93427AFB-C3D2-4C6C-9880-438E6FACB9BB}">
  <ds:schemaRefs>
    <ds:schemaRef ds:uri="http://schemas.microsoft.com/sharepoint/v3/contenttype/forms"/>
  </ds:schemaRefs>
</ds:datastoreItem>
</file>

<file path=customXml/itemProps2.xml><?xml version="1.0" encoding="utf-8"?>
<ds:datastoreItem xmlns:ds="http://schemas.openxmlformats.org/officeDocument/2006/customXml" ds:itemID="{974A4E71-C378-46AD-88F8-D86B432B26C9}">
  <ds:schemaRefs>
    <ds:schemaRef ds:uri="http://schemas.microsoft.com/sharepoint/events"/>
  </ds:schemaRefs>
</ds:datastoreItem>
</file>

<file path=customXml/itemProps3.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B54AF-3FAF-498D-85B0-CE81C47A6BBF}">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R1-1912947_NR V2X Synchronization Cluster Merge</vt:lpstr>
    </vt:vector>
  </TitlesOfParts>
  <Company>Qualcomm, Incorporated</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R1-2000964_NR V2X Synchronization Cluster Merge</dc:title>
  <dc:subject/>
  <dc:creator>Sudhir Baghel</dc:creator>
  <cp:keywords/>
  <dc:description/>
  <cp:lastModifiedBy>Qualcomm</cp:lastModifiedBy>
  <cp:revision>20</cp:revision>
  <dcterms:created xsi:type="dcterms:W3CDTF">2020-02-11T22:28:00Z</dcterms:created>
  <dcterms:modified xsi:type="dcterms:W3CDTF">2020-04-21T12:02:00Z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556861da-3410-489f-9dff-5ef93f1e275d</vt:lpwstr>
  </property>
</Properties>
</file>